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71A4" w14:textId="4F3E2E3F" w:rsidR="00B0228E" w:rsidRPr="009E6B08" w:rsidRDefault="000D4BAF" w:rsidP="00B0228E">
      <w:pPr>
        <w:rPr>
          <w:lang w:val="en-US"/>
        </w:rPr>
      </w:pPr>
      <w:r>
        <w:rPr>
          <w:lang w:val="en-US"/>
        </w:rPr>
        <w:t>Literature list</w:t>
      </w:r>
      <w:r w:rsidR="00317F80">
        <w:rPr>
          <w:lang w:val="en-US"/>
        </w:rPr>
        <w:t xml:space="preserve">, </w:t>
      </w:r>
      <w:r w:rsidR="00F64189">
        <w:rPr>
          <w:lang w:val="en-US"/>
        </w:rPr>
        <w:t>746G28, 746G45</w:t>
      </w:r>
    </w:p>
    <w:p w14:paraId="2E97A8E0" w14:textId="77777777" w:rsidR="00B0228E" w:rsidRPr="009E6B08" w:rsidRDefault="00B0228E" w:rsidP="00943D2C">
      <w:pPr>
        <w:pStyle w:val="Rubrik1"/>
        <w:spacing w:after="240"/>
        <w:rPr>
          <w:lang w:val="en-US"/>
        </w:rPr>
      </w:pPr>
      <w:bookmarkStart w:id="0" w:name="_Toc49948855"/>
      <w:bookmarkStart w:id="1" w:name="_Toc49948899"/>
      <w:bookmarkStart w:id="2" w:name="_Toc49948974"/>
      <w:bookmarkStart w:id="3" w:name="_Toc49949221"/>
      <w:r w:rsidRPr="009E6B08">
        <w:rPr>
          <w:lang w:val="en-US"/>
        </w:rPr>
        <w:t>International environmental management</w:t>
      </w:r>
      <w:bookmarkEnd w:id="0"/>
      <w:bookmarkEnd w:id="1"/>
      <w:bookmarkEnd w:id="2"/>
      <w:bookmarkEnd w:id="3"/>
    </w:p>
    <w:p w14:paraId="2A3D0FBD" w14:textId="77777777" w:rsidR="001A0227" w:rsidRDefault="0029379D" w:rsidP="0029379D">
      <w:pPr>
        <w:rPr>
          <w:lang w:val="en-GB"/>
        </w:rPr>
      </w:pPr>
      <w:r>
        <w:rPr>
          <w:lang w:val="en-GB"/>
        </w:rPr>
        <w:t xml:space="preserve">The list of literature contains </w:t>
      </w:r>
      <w:r w:rsidR="001A0227">
        <w:rPr>
          <w:lang w:val="en-GB"/>
        </w:rPr>
        <w:t xml:space="preserve">a set of </w:t>
      </w:r>
      <w:r>
        <w:rPr>
          <w:lang w:val="en-GB"/>
        </w:rPr>
        <w:t xml:space="preserve">compulsory </w:t>
      </w:r>
      <w:r w:rsidR="001A0227">
        <w:rPr>
          <w:lang w:val="en-GB"/>
        </w:rPr>
        <w:t>literature that you shall read in preparation for lectures and literature seminars. It also contains complementary literature that you may revert to as a resource in preparing for the role play and to dive deeper into the themes of the various lectures.</w:t>
      </w:r>
    </w:p>
    <w:p w14:paraId="039191DE" w14:textId="77777777" w:rsidR="00087EF1" w:rsidRDefault="000B6F59" w:rsidP="00F95EB5">
      <w:pPr>
        <w:pStyle w:val="Rubrik2"/>
        <w:jc w:val="left"/>
        <w:rPr>
          <w:lang w:val="en-GB"/>
        </w:rPr>
      </w:pPr>
      <w:bookmarkStart w:id="4" w:name="_Toc49948863"/>
      <w:bookmarkStart w:id="5" w:name="_Toc49949229"/>
      <w:r w:rsidRPr="00477986">
        <w:rPr>
          <w:lang w:val="en-GB"/>
        </w:rPr>
        <w:t>Compulsory</w:t>
      </w:r>
      <w:r w:rsidR="001A0227">
        <w:rPr>
          <w:lang w:val="en-GB"/>
        </w:rPr>
        <w:t xml:space="preserve"> literature</w:t>
      </w:r>
      <w:bookmarkEnd w:id="4"/>
      <w:bookmarkEnd w:id="5"/>
    </w:p>
    <w:p w14:paraId="02959AB7" w14:textId="3FA8E4A1" w:rsidR="000B6F59" w:rsidRPr="008F33E4" w:rsidRDefault="00087EF1" w:rsidP="00F95EB5">
      <w:pPr>
        <w:pStyle w:val="Rubrik3"/>
        <w:jc w:val="left"/>
        <w:rPr>
          <w:lang w:val="en-GB"/>
        </w:rPr>
      </w:pPr>
      <w:bookmarkStart w:id="6" w:name="_Toc49948864"/>
      <w:bookmarkStart w:id="7" w:name="_Toc49949230"/>
      <w:r>
        <w:rPr>
          <w:lang w:val="en-GB"/>
        </w:rPr>
        <w:t>B</w:t>
      </w:r>
      <w:r w:rsidR="000B6F59">
        <w:rPr>
          <w:lang w:val="en-GB"/>
        </w:rPr>
        <w:t>ook</w:t>
      </w:r>
      <w:bookmarkEnd w:id="6"/>
      <w:bookmarkEnd w:id="7"/>
    </w:p>
    <w:p w14:paraId="405D0046" w14:textId="3DDF57BF" w:rsidR="000B6F59" w:rsidRDefault="000B6F59" w:rsidP="00F95EB5">
      <w:pPr>
        <w:ind w:left="567" w:hanging="567"/>
        <w:jc w:val="left"/>
        <w:rPr>
          <w:lang w:val="en-US"/>
        </w:rPr>
      </w:pPr>
      <w:r w:rsidRPr="000B6F59">
        <w:rPr>
          <w:lang w:val="en-US"/>
        </w:rPr>
        <w:t xml:space="preserve">O’Neill, K. (2017) </w:t>
      </w:r>
      <w:r w:rsidRPr="000B6F59">
        <w:rPr>
          <w:i/>
          <w:lang w:val="en-US"/>
        </w:rPr>
        <w:t>The Environment and International Relations</w:t>
      </w:r>
      <w:r w:rsidRPr="000B6F59">
        <w:rPr>
          <w:lang w:val="en-US"/>
        </w:rPr>
        <w:t>. Cambridge, UK: Cambridge University Press.</w:t>
      </w:r>
    </w:p>
    <w:p w14:paraId="1B0B000C" w14:textId="77777777" w:rsidR="000B6F59" w:rsidRPr="00CF5EA2" w:rsidRDefault="00087EF1" w:rsidP="00F95EB5">
      <w:pPr>
        <w:pStyle w:val="Rubrik3"/>
        <w:jc w:val="left"/>
        <w:rPr>
          <w:lang w:val="en-GB"/>
        </w:rPr>
      </w:pPr>
      <w:bookmarkStart w:id="8" w:name="_Toc49948865"/>
      <w:bookmarkStart w:id="9" w:name="_Toc49949231"/>
      <w:r>
        <w:rPr>
          <w:lang w:val="en-US"/>
        </w:rPr>
        <w:t>J</w:t>
      </w:r>
      <w:r w:rsidR="000B6F59" w:rsidRPr="000B6F59">
        <w:rPr>
          <w:lang w:val="en-US"/>
        </w:rPr>
        <w:t>ournal articles</w:t>
      </w:r>
      <w:r w:rsidR="00542345">
        <w:rPr>
          <w:lang w:val="en-US"/>
        </w:rPr>
        <w:t xml:space="preserve"> and reports</w:t>
      </w:r>
      <w:bookmarkEnd w:id="8"/>
      <w:bookmarkEnd w:id="9"/>
    </w:p>
    <w:p w14:paraId="73E2C298" w14:textId="77777777" w:rsidR="00E17F22" w:rsidRPr="000B6F59" w:rsidRDefault="00E17F22" w:rsidP="00E17F22">
      <w:pPr>
        <w:pStyle w:val="NormalIndented"/>
        <w:ind w:left="567" w:hanging="567"/>
        <w:jc w:val="left"/>
        <w:rPr>
          <w:lang w:val="en-US"/>
        </w:rPr>
      </w:pPr>
      <w:proofErr w:type="spellStart"/>
      <w:r w:rsidRPr="000B6F59">
        <w:rPr>
          <w:lang w:val="en-US"/>
        </w:rPr>
        <w:t>Bachram</w:t>
      </w:r>
      <w:proofErr w:type="spellEnd"/>
      <w:r w:rsidRPr="000B6F59">
        <w:rPr>
          <w:lang w:val="en-US"/>
        </w:rPr>
        <w:t>, H</w:t>
      </w:r>
      <w:r>
        <w:rPr>
          <w:lang w:val="en-US"/>
        </w:rPr>
        <w:t>eidi</w:t>
      </w:r>
      <w:r w:rsidRPr="000B6F59">
        <w:rPr>
          <w:lang w:val="en-US"/>
        </w:rPr>
        <w:t xml:space="preserve">. (2004). Climate fraud and carbon colonialism: the new trade in greenhouse gases. </w:t>
      </w:r>
      <w:r w:rsidRPr="000B6F59">
        <w:rPr>
          <w:i/>
          <w:lang w:val="en-US"/>
        </w:rPr>
        <w:t>Capitalism Nature Socialism</w:t>
      </w:r>
      <w:r w:rsidRPr="000B6F59">
        <w:rPr>
          <w:lang w:val="en-US"/>
        </w:rPr>
        <w:t>, 15(4): 5–20.</w:t>
      </w:r>
    </w:p>
    <w:p w14:paraId="100D85D5" w14:textId="2916A850" w:rsidR="000B6F59" w:rsidRPr="000B6F59" w:rsidRDefault="000B6F59" w:rsidP="00F95EB5">
      <w:pPr>
        <w:pStyle w:val="NormalIndented"/>
        <w:ind w:left="567" w:hanging="567"/>
        <w:jc w:val="left"/>
        <w:rPr>
          <w:lang w:val="en-US"/>
        </w:rPr>
      </w:pPr>
      <w:r w:rsidRPr="000B6F59">
        <w:rPr>
          <w:lang w:val="en-US"/>
        </w:rPr>
        <w:t xml:space="preserve">Bigger, P. (2018). Hybridity, possibility: Degrees of marketization in tradeable permit systems. </w:t>
      </w:r>
      <w:r w:rsidRPr="000B6F59">
        <w:rPr>
          <w:i/>
          <w:lang w:val="en-US"/>
        </w:rPr>
        <w:t>Environment and Planning A: Economy and Space</w:t>
      </w:r>
      <w:r w:rsidRPr="000B6F59">
        <w:rPr>
          <w:lang w:val="en-US"/>
        </w:rPr>
        <w:t>, 50(3): 512–530.</w:t>
      </w:r>
    </w:p>
    <w:p w14:paraId="49A99741" w14:textId="77777777" w:rsidR="00E17F22" w:rsidRDefault="00E17F22" w:rsidP="00E17F22">
      <w:pPr>
        <w:ind w:left="567" w:hanging="567"/>
        <w:jc w:val="left"/>
        <w:rPr>
          <w:lang w:val="en-US"/>
        </w:rPr>
      </w:pPr>
      <w:r w:rsidRPr="00943D2C">
        <w:rPr>
          <w:lang w:val="en-GB"/>
        </w:rPr>
        <w:t xml:space="preserve">Bodansky, D. (2016). The Paris Climate Change Agreement: A New Hope? </w:t>
      </w:r>
      <w:proofErr w:type="spellStart"/>
      <w:r>
        <w:t>American</w:t>
      </w:r>
      <w:proofErr w:type="spellEnd"/>
      <w:r>
        <w:t xml:space="preserve"> Journal </w:t>
      </w:r>
      <w:proofErr w:type="spellStart"/>
      <w:r>
        <w:t>of</w:t>
      </w:r>
      <w:proofErr w:type="spellEnd"/>
      <w:r>
        <w:t xml:space="preserve"> International </w:t>
      </w:r>
      <w:proofErr w:type="spellStart"/>
      <w:r>
        <w:t>Law</w:t>
      </w:r>
      <w:proofErr w:type="spellEnd"/>
      <w:r>
        <w:t xml:space="preserve">, 110(2), </w:t>
      </w:r>
      <w:proofErr w:type="gramStart"/>
      <w:r>
        <w:t>288-319</w:t>
      </w:r>
      <w:proofErr w:type="gramEnd"/>
      <w:r>
        <w:t>.</w:t>
      </w:r>
    </w:p>
    <w:p w14:paraId="64F768BC" w14:textId="112A55C0" w:rsidR="00E17F22" w:rsidRDefault="00E17F22" w:rsidP="00E17F22">
      <w:pPr>
        <w:pStyle w:val="NormalIndented"/>
        <w:ind w:left="567" w:hanging="567"/>
        <w:jc w:val="left"/>
        <w:rPr>
          <w:lang w:val="en-US"/>
        </w:rPr>
      </w:pPr>
      <w:r w:rsidRPr="008C2609">
        <w:rPr>
          <w:rFonts w:eastAsiaTheme="minorHAnsi"/>
          <w:lang w:val="en-GB" w:eastAsia="en-US"/>
        </w:rPr>
        <w:t>Boyd, E</w:t>
      </w:r>
      <w:r>
        <w:rPr>
          <w:rFonts w:eastAsiaTheme="minorHAnsi"/>
          <w:lang w:val="en-GB" w:eastAsia="en-US"/>
        </w:rPr>
        <w:t>.,</w:t>
      </w:r>
      <w:r w:rsidRPr="008C2609">
        <w:rPr>
          <w:rFonts w:eastAsiaTheme="minorHAnsi"/>
          <w:lang w:val="en-GB" w:eastAsia="en-US"/>
        </w:rPr>
        <w:t xml:space="preserve"> et al. 2021. Loss and damage from climate change: A new climate justice agenda. </w:t>
      </w:r>
      <w:proofErr w:type="spellStart"/>
      <w:r w:rsidRPr="008C2609">
        <w:rPr>
          <w:rFonts w:eastAsiaTheme="minorHAnsi"/>
          <w:lang w:val="en-GB" w:eastAsia="en-US"/>
        </w:rPr>
        <w:t>OneEarth</w:t>
      </w:r>
      <w:proofErr w:type="spellEnd"/>
      <w:r w:rsidRPr="008C2609">
        <w:rPr>
          <w:rFonts w:eastAsiaTheme="minorHAnsi"/>
          <w:lang w:val="en-GB" w:eastAsia="en-US"/>
        </w:rPr>
        <w:t xml:space="preserve"> 4, 1365-1370.</w:t>
      </w:r>
      <w:r>
        <w:rPr>
          <w:rFonts w:eastAsiaTheme="minorHAnsi"/>
          <w:lang w:val="en-GB" w:eastAsia="en-US"/>
        </w:rPr>
        <w:t xml:space="preserve"> </w:t>
      </w:r>
      <w:r w:rsidRPr="008C2609">
        <w:rPr>
          <w:rFonts w:eastAsiaTheme="minorHAnsi"/>
          <w:lang w:val="en-GB" w:eastAsia="en-US"/>
        </w:rPr>
        <w:t>https://doi.org/10.1016/j.oneear.2021.09.015</w:t>
      </w:r>
      <w:r>
        <w:rPr>
          <w:rFonts w:eastAsiaTheme="minorHAnsi"/>
          <w:lang w:val="en-GB" w:eastAsia="en-US"/>
        </w:rPr>
        <w:t>.</w:t>
      </w:r>
    </w:p>
    <w:p w14:paraId="3B6E0B61" w14:textId="6B718D76" w:rsidR="00146234" w:rsidRDefault="00146234" w:rsidP="00146234">
      <w:pPr>
        <w:pStyle w:val="NormalIndented"/>
        <w:ind w:left="567" w:hanging="567"/>
        <w:jc w:val="left"/>
        <w:rPr>
          <w:lang w:val="en-US"/>
        </w:rPr>
      </w:pPr>
      <w:r>
        <w:rPr>
          <w:lang w:val="en-US"/>
        </w:rPr>
        <w:t>EEA (20</w:t>
      </w:r>
      <w:r w:rsidR="0076484E">
        <w:rPr>
          <w:lang w:val="en-US"/>
        </w:rPr>
        <w:t>19</w:t>
      </w:r>
      <w:r>
        <w:rPr>
          <w:lang w:val="en-US"/>
        </w:rPr>
        <w:t xml:space="preserve">). </w:t>
      </w:r>
      <w:r w:rsidRPr="00146234">
        <w:rPr>
          <w:i/>
          <w:iCs/>
          <w:lang w:val="en-US"/>
        </w:rPr>
        <w:t>The European environment</w:t>
      </w:r>
      <w:r w:rsidR="0076484E">
        <w:rPr>
          <w:i/>
          <w:iCs/>
          <w:lang w:val="en-US"/>
        </w:rPr>
        <w:t xml:space="preserve"> – </w:t>
      </w:r>
      <w:r w:rsidRPr="00146234">
        <w:rPr>
          <w:i/>
          <w:iCs/>
          <w:lang w:val="en-US"/>
        </w:rPr>
        <w:t>state and outlook 2020</w:t>
      </w:r>
      <w:r w:rsidR="0076484E">
        <w:rPr>
          <w:i/>
          <w:iCs/>
          <w:lang w:val="en-US"/>
        </w:rPr>
        <w:t xml:space="preserve">: </w:t>
      </w:r>
      <w:r w:rsidR="0076484E" w:rsidRPr="0076484E">
        <w:rPr>
          <w:i/>
          <w:iCs/>
          <w:lang w:val="en-US"/>
        </w:rPr>
        <w:t>Executive summary</w:t>
      </w:r>
      <w:r>
        <w:rPr>
          <w:lang w:val="en-US"/>
        </w:rPr>
        <w:t xml:space="preserve">. </w:t>
      </w:r>
      <w:r w:rsidRPr="00146234">
        <w:rPr>
          <w:lang w:val="en-US"/>
        </w:rPr>
        <w:t>Copenhagen</w:t>
      </w:r>
      <w:r>
        <w:rPr>
          <w:lang w:val="en-US"/>
        </w:rPr>
        <w:t xml:space="preserve">: </w:t>
      </w:r>
      <w:r w:rsidRPr="00146234">
        <w:rPr>
          <w:lang w:val="en-US"/>
        </w:rPr>
        <w:t>European Environment Agency</w:t>
      </w:r>
      <w:r w:rsidR="007D68CF">
        <w:rPr>
          <w:lang w:val="en-US"/>
        </w:rPr>
        <w:t xml:space="preserve"> (EEA)</w:t>
      </w:r>
      <w:r w:rsidR="0076484E">
        <w:rPr>
          <w:lang w:val="en-US"/>
        </w:rPr>
        <w:t>.</w:t>
      </w:r>
    </w:p>
    <w:p w14:paraId="71D3FC11" w14:textId="4D57C6AF" w:rsidR="000B6F59" w:rsidRPr="000B6F59" w:rsidRDefault="000B6F59" w:rsidP="00F95EB5">
      <w:pPr>
        <w:pStyle w:val="NormalIndented"/>
        <w:ind w:left="567" w:hanging="567"/>
        <w:jc w:val="left"/>
        <w:rPr>
          <w:lang w:val="en-US"/>
        </w:rPr>
      </w:pPr>
      <w:r w:rsidRPr="00BD7F66">
        <w:rPr>
          <w:lang w:val="en-GB"/>
        </w:rPr>
        <w:t xml:space="preserve">Haikola, S., Hansson, A., Fridahl, M. (2019). </w:t>
      </w:r>
      <w:r w:rsidRPr="000B6F59">
        <w:rPr>
          <w:lang w:val="en-US"/>
        </w:rPr>
        <w:t xml:space="preserve">Map-makers and navigators of </w:t>
      </w:r>
      <w:proofErr w:type="spellStart"/>
      <w:r w:rsidRPr="000B6F59">
        <w:rPr>
          <w:lang w:val="en-US"/>
        </w:rPr>
        <w:t>politicised</w:t>
      </w:r>
      <w:proofErr w:type="spellEnd"/>
      <w:r w:rsidRPr="000B6F59">
        <w:rPr>
          <w:lang w:val="en-US"/>
        </w:rPr>
        <w:t xml:space="preserve"> terrain: Expert understandings of epistemological uncertainty in integrated assessment modelling of bioenergy with carbon capture and storage. </w:t>
      </w:r>
      <w:r w:rsidRPr="000B6F59">
        <w:rPr>
          <w:i/>
          <w:lang w:val="en-US"/>
        </w:rPr>
        <w:t>Futures</w:t>
      </w:r>
      <w:r w:rsidRPr="000B6F59">
        <w:rPr>
          <w:lang w:val="en-US"/>
        </w:rPr>
        <w:t>, 114: 1024722.</w:t>
      </w:r>
    </w:p>
    <w:p w14:paraId="1F8AFB14" w14:textId="6C8E4A59" w:rsidR="000B6F59" w:rsidRDefault="000B6F59" w:rsidP="00F95EB5">
      <w:pPr>
        <w:ind w:left="567" w:hanging="567"/>
        <w:jc w:val="left"/>
        <w:rPr>
          <w:lang w:val="en-US"/>
        </w:rPr>
      </w:pPr>
      <w:r w:rsidRPr="000B6F59">
        <w:rPr>
          <w:lang w:val="en-US"/>
        </w:rPr>
        <w:t>IPCC</w:t>
      </w:r>
      <w:r w:rsidR="00943D2C">
        <w:rPr>
          <w:lang w:val="en-US"/>
        </w:rPr>
        <w:t>.</w:t>
      </w:r>
      <w:r w:rsidRPr="000B6F59">
        <w:rPr>
          <w:lang w:val="en-US"/>
        </w:rPr>
        <w:t xml:space="preserve"> (2018). “Chapter 2: Mitigation pathways compatible with 1.5°C in the context of sustainable development”. In: </w:t>
      </w:r>
      <w:r w:rsidRPr="000B6F59">
        <w:rPr>
          <w:i/>
          <w:lang w:val="en-US"/>
        </w:rPr>
        <w:t>Global Warming of 1.5 ºC</w:t>
      </w:r>
      <w:r w:rsidR="00943D2C">
        <w:rPr>
          <w:iCs/>
          <w:lang w:val="en-US"/>
        </w:rPr>
        <w:t>,</w:t>
      </w:r>
      <w:r w:rsidRPr="000B6F59">
        <w:rPr>
          <w:lang w:val="en-US"/>
        </w:rPr>
        <w:t xml:space="preserve"> Masson-Delmotte, V.</w:t>
      </w:r>
      <w:r w:rsidR="00943D2C">
        <w:rPr>
          <w:lang w:val="en-US"/>
        </w:rPr>
        <w:t xml:space="preserve"> et al. (</w:t>
      </w:r>
      <w:r w:rsidRPr="000B6F59">
        <w:rPr>
          <w:lang w:val="en-US"/>
        </w:rPr>
        <w:t xml:space="preserve">eds.). </w:t>
      </w:r>
      <w:r w:rsidRPr="00146234">
        <w:rPr>
          <w:lang w:val="en-US"/>
        </w:rPr>
        <w:t>Intergovernmental Panel on Climate Change (IPCC): Geneva.</w:t>
      </w:r>
    </w:p>
    <w:p w14:paraId="4D79AB5F" w14:textId="77777777" w:rsidR="00E17F22" w:rsidRPr="008C2609" w:rsidRDefault="00E17F22" w:rsidP="00E17F22">
      <w:pPr>
        <w:autoSpaceDE w:val="0"/>
        <w:autoSpaceDN w:val="0"/>
        <w:adjustRightInd w:val="0"/>
        <w:ind w:left="284" w:hanging="284"/>
        <w:jc w:val="left"/>
        <w:rPr>
          <w:rFonts w:eastAsiaTheme="minorHAnsi"/>
          <w:lang w:val="en-GB" w:eastAsia="en-US"/>
        </w:rPr>
      </w:pPr>
      <w:r w:rsidRPr="008C2609">
        <w:rPr>
          <w:rFonts w:eastAsiaTheme="minorHAnsi"/>
          <w:lang w:val="en-GB" w:eastAsia="en-US"/>
        </w:rPr>
        <w:t>Pauw, W. P.</w:t>
      </w:r>
      <w:r>
        <w:rPr>
          <w:rFonts w:eastAsiaTheme="minorHAnsi"/>
          <w:lang w:val="en-GB" w:eastAsia="en-US"/>
        </w:rPr>
        <w:t>,</w:t>
      </w:r>
      <w:r w:rsidRPr="008C2609">
        <w:rPr>
          <w:rFonts w:eastAsiaTheme="minorHAnsi"/>
          <w:lang w:val="en-GB" w:eastAsia="en-US"/>
        </w:rPr>
        <w:t xml:space="preserve"> et al. (2022) Post-2025 climate finance target: how much more and how much </w:t>
      </w:r>
      <w:proofErr w:type="gramStart"/>
      <w:r w:rsidRPr="008C2609">
        <w:rPr>
          <w:rFonts w:eastAsiaTheme="minorHAnsi"/>
          <w:lang w:val="en-GB" w:eastAsia="en-US"/>
        </w:rPr>
        <w:t>better?,</w:t>
      </w:r>
      <w:proofErr w:type="gramEnd"/>
      <w:r>
        <w:rPr>
          <w:rFonts w:eastAsiaTheme="minorHAnsi"/>
          <w:lang w:val="en-GB" w:eastAsia="en-US"/>
        </w:rPr>
        <w:t xml:space="preserve"> </w:t>
      </w:r>
      <w:r w:rsidRPr="008C2609">
        <w:rPr>
          <w:rFonts w:eastAsiaTheme="minorHAnsi"/>
          <w:lang w:val="en-GB" w:eastAsia="en-US"/>
        </w:rPr>
        <w:t>Climate Policy, 22:9-10, 1241-1251, https://doi.org/.1080/14693062.2022.2114985</w:t>
      </w:r>
      <w:r>
        <w:rPr>
          <w:rFonts w:eastAsiaTheme="minorHAnsi"/>
          <w:lang w:val="en-GB" w:eastAsia="en-US"/>
        </w:rPr>
        <w:t>.</w:t>
      </w:r>
    </w:p>
    <w:p w14:paraId="11AC1EE6" w14:textId="0339BCF8" w:rsidR="00943D2C" w:rsidRPr="00146234" w:rsidRDefault="00943D2C" w:rsidP="00943D2C">
      <w:pPr>
        <w:ind w:left="567" w:hanging="567"/>
        <w:jc w:val="left"/>
        <w:rPr>
          <w:lang w:val="en-US"/>
        </w:rPr>
      </w:pPr>
      <w:r w:rsidRPr="00943D2C">
        <w:rPr>
          <w:lang w:val="en-US"/>
        </w:rPr>
        <w:t>Streck</w:t>
      </w:r>
      <w:r>
        <w:rPr>
          <w:lang w:val="en-US"/>
        </w:rPr>
        <w:t xml:space="preserve">, </w:t>
      </w:r>
      <w:r w:rsidRPr="00943D2C">
        <w:rPr>
          <w:lang w:val="en-US"/>
        </w:rPr>
        <w:t>Charlotte</w:t>
      </w:r>
      <w:r>
        <w:rPr>
          <w:lang w:val="en-US"/>
        </w:rPr>
        <w:t>.</w:t>
      </w:r>
      <w:r w:rsidRPr="00943D2C">
        <w:rPr>
          <w:lang w:val="en-US"/>
        </w:rPr>
        <w:t xml:space="preserve"> (2023)</w:t>
      </w:r>
      <w:r>
        <w:rPr>
          <w:lang w:val="en-US"/>
        </w:rPr>
        <w:t>.</w:t>
      </w:r>
      <w:r w:rsidRPr="00943D2C">
        <w:rPr>
          <w:lang w:val="en-US"/>
        </w:rPr>
        <w:t xml:space="preserve"> Synergies between the </w:t>
      </w:r>
      <w:proofErr w:type="spellStart"/>
      <w:r w:rsidRPr="00943D2C">
        <w:rPr>
          <w:lang w:val="en-US"/>
        </w:rPr>
        <w:t>KunmingMontreal</w:t>
      </w:r>
      <w:proofErr w:type="spellEnd"/>
      <w:r w:rsidRPr="00943D2C">
        <w:rPr>
          <w:lang w:val="en-US"/>
        </w:rPr>
        <w:t xml:space="preserve"> Global Biodiversity Framework and the Paris Agreement: the role of policy milestones, monitoring frameworks and safeguards, Climate Policy, 23:6, 800-811, DOI: 10.1080/14693062.2023.2230940</w:t>
      </w:r>
    </w:p>
    <w:p w14:paraId="716D859F" w14:textId="198F212F" w:rsidR="00943D2C" w:rsidRDefault="00943D2C" w:rsidP="0003335C">
      <w:pPr>
        <w:pStyle w:val="NormalIndented"/>
        <w:ind w:left="567" w:hanging="567"/>
        <w:jc w:val="left"/>
        <w:rPr>
          <w:lang w:val="en-US"/>
        </w:rPr>
      </w:pPr>
      <w:r w:rsidRPr="00943D2C">
        <w:rPr>
          <w:lang w:val="en-US"/>
        </w:rPr>
        <w:lastRenderedPageBreak/>
        <w:t>Thaller de Zarate, C.</w:t>
      </w:r>
      <w:r>
        <w:rPr>
          <w:lang w:val="en-US"/>
        </w:rPr>
        <w:t>,</w:t>
      </w:r>
      <w:r w:rsidRPr="00943D2C">
        <w:rPr>
          <w:lang w:val="en-US"/>
        </w:rPr>
        <w:t xml:space="preserve"> Marciano</w:t>
      </w:r>
      <w:r>
        <w:rPr>
          <w:lang w:val="en-US"/>
        </w:rPr>
        <w:t>,</w:t>
      </w:r>
      <w:r w:rsidRPr="00943D2C">
        <w:rPr>
          <w:lang w:val="en-US"/>
        </w:rPr>
        <w:t xml:space="preserve"> A.C., Woroniecki</w:t>
      </w:r>
      <w:r>
        <w:rPr>
          <w:lang w:val="en-US"/>
        </w:rPr>
        <w:t>,</w:t>
      </w:r>
      <w:r w:rsidRPr="00943D2C">
        <w:rPr>
          <w:lang w:val="en-US"/>
        </w:rPr>
        <w:t xml:space="preserve"> S.</w:t>
      </w:r>
      <w:r>
        <w:rPr>
          <w:lang w:val="en-US"/>
        </w:rPr>
        <w:t>,</w:t>
      </w:r>
      <w:r w:rsidRPr="00943D2C">
        <w:rPr>
          <w:lang w:val="en-US"/>
        </w:rPr>
        <w:t xml:space="preserve"> Yang</w:t>
      </w:r>
      <w:r>
        <w:rPr>
          <w:lang w:val="en-US"/>
        </w:rPr>
        <w:t>,</w:t>
      </w:r>
      <w:r w:rsidRPr="00943D2C">
        <w:rPr>
          <w:lang w:val="en-US"/>
        </w:rPr>
        <w:t xml:space="preserve"> C</w:t>
      </w:r>
      <w:r>
        <w:rPr>
          <w:lang w:val="en-US"/>
        </w:rPr>
        <w:t>.</w:t>
      </w:r>
      <w:r w:rsidRPr="00943D2C">
        <w:rPr>
          <w:lang w:val="en-US"/>
        </w:rPr>
        <w:t>, Ölund, M</w:t>
      </w:r>
      <w:r>
        <w:rPr>
          <w:lang w:val="en-US"/>
        </w:rPr>
        <w:t>.</w:t>
      </w:r>
      <w:r w:rsidRPr="00943D2C">
        <w:rPr>
          <w:lang w:val="en-US"/>
        </w:rPr>
        <w:t xml:space="preserve"> COP15 — a Transformative moment for biodiversity conservation? 24/4/2023. Available at: https://www.siani.se/news-story/cop15-transformative-moment/</w:t>
      </w:r>
    </w:p>
    <w:p w14:paraId="10EC653B" w14:textId="1F5AFC56" w:rsidR="0003335C" w:rsidRDefault="0003335C" w:rsidP="0003335C">
      <w:pPr>
        <w:pStyle w:val="NormalIndented"/>
        <w:ind w:left="567" w:hanging="567"/>
        <w:jc w:val="left"/>
        <w:rPr>
          <w:lang w:val="en-US"/>
        </w:rPr>
      </w:pPr>
      <w:r w:rsidRPr="0003335C">
        <w:rPr>
          <w:lang w:val="en-US"/>
        </w:rPr>
        <w:t xml:space="preserve">Zito, </w:t>
      </w:r>
      <w:r>
        <w:rPr>
          <w:lang w:val="en-US"/>
        </w:rPr>
        <w:t xml:space="preserve">A.R., </w:t>
      </w:r>
      <w:r w:rsidRPr="0003335C">
        <w:rPr>
          <w:lang w:val="en-US"/>
        </w:rPr>
        <w:t>Burns</w:t>
      </w:r>
      <w:r>
        <w:rPr>
          <w:lang w:val="en-US"/>
        </w:rPr>
        <w:t>, C.</w:t>
      </w:r>
      <w:r w:rsidRPr="0003335C">
        <w:rPr>
          <w:lang w:val="en-US"/>
        </w:rPr>
        <w:t xml:space="preserve"> Lenschow</w:t>
      </w:r>
      <w:r>
        <w:rPr>
          <w:lang w:val="en-US"/>
        </w:rPr>
        <w:t>, A.</w:t>
      </w:r>
      <w:r w:rsidRPr="0003335C">
        <w:rPr>
          <w:lang w:val="en-US"/>
        </w:rPr>
        <w:t xml:space="preserve"> (2019)</w:t>
      </w:r>
      <w:r w:rsidR="00943D2C">
        <w:rPr>
          <w:lang w:val="en-US"/>
        </w:rPr>
        <w:t>.</w:t>
      </w:r>
      <w:r w:rsidRPr="0003335C">
        <w:rPr>
          <w:lang w:val="en-US"/>
        </w:rPr>
        <w:t xml:space="preserve"> Is the trajectory</w:t>
      </w:r>
      <w:r>
        <w:rPr>
          <w:lang w:val="en-US"/>
        </w:rPr>
        <w:t xml:space="preserve"> </w:t>
      </w:r>
      <w:r w:rsidRPr="0003335C">
        <w:rPr>
          <w:lang w:val="en-US"/>
        </w:rPr>
        <w:t xml:space="preserve">of European Union environmental policy less certain? </w:t>
      </w:r>
      <w:r w:rsidRPr="0003335C">
        <w:rPr>
          <w:i/>
          <w:iCs/>
          <w:lang w:val="en-US"/>
        </w:rPr>
        <w:t>Environmental Politics</w:t>
      </w:r>
      <w:r w:rsidRPr="0003335C">
        <w:rPr>
          <w:lang w:val="en-US"/>
        </w:rPr>
        <w:t>, 28:2, 187</w:t>
      </w:r>
      <w:r>
        <w:rPr>
          <w:lang w:val="en-US"/>
        </w:rPr>
        <w:t>–</w:t>
      </w:r>
      <w:r w:rsidRPr="0003335C">
        <w:rPr>
          <w:lang w:val="en-US"/>
        </w:rPr>
        <w:t>207</w:t>
      </w:r>
      <w:r>
        <w:rPr>
          <w:lang w:val="en-US"/>
        </w:rPr>
        <w:t>.</w:t>
      </w:r>
    </w:p>
    <w:p w14:paraId="08E4193E" w14:textId="77777777" w:rsidR="00E17F22" w:rsidRDefault="00E17F22" w:rsidP="00943D2C">
      <w:pPr>
        <w:jc w:val="left"/>
        <w:rPr>
          <w:lang w:val="en-US"/>
        </w:rPr>
      </w:pPr>
      <w:bookmarkStart w:id="10" w:name="_Toc49948866"/>
      <w:bookmarkStart w:id="11" w:name="_Toc49949232"/>
    </w:p>
    <w:p w14:paraId="31CEF3E0" w14:textId="357FF4EE" w:rsidR="000B6F59" w:rsidRPr="000B6F59" w:rsidRDefault="000B6F59" w:rsidP="00E17F22">
      <w:pPr>
        <w:pStyle w:val="Rubrik2"/>
        <w:rPr>
          <w:lang w:val="en-US"/>
        </w:rPr>
      </w:pPr>
      <w:r w:rsidRPr="000B6F59">
        <w:rPr>
          <w:lang w:val="en-US"/>
        </w:rPr>
        <w:t>Complementary</w:t>
      </w:r>
      <w:r w:rsidR="00CE661C">
        <w:rPr>
          <w:lang w:val="en-US"/>
        </w:rPr>
        <w:t xml:space="preserve"> literature</w:t>
      </w:r>
      <w:bookmarkEnd w:id="10"/>
      <w:bookmarkEnd w:id="11"/>
    </w:p>
    <w:p w14:paraId="6B6EA865" w14:textId="77777777" w:rsidR="000B6F59" w:rsidRPr="00477986" w:rsidRDefault="000B6F59" w:rsidP="00F95EB5">
      <w:pPr>
        <w:pStyle w:val="Rubrik3"/>
        <w:jc w:val="left"/>
        <w:rPr>
          <w:lang w:val="en-GB"/>
        </w:rPr>
      </w:pPr>
      <w:bookmarkStart w:id="12" w:name="_Toc49948867"/>
      <w:bookmarkStart w:id="13" w:name="_Toc49949233"/>
      <w:r w:rsidRPr="00477986">
        <w:rPr>
          <w:lang w:val="en-GB"/>
        </w:rPr>
        <w:t>International environmental diplomacy</w:t>
      </w:r>
      <w:bookmarkEnd w:id="12"/>
      <w:bookmarkEnd w:id="13"/>
    </w:p>
    <w:p w14:paraId="0F3F2A99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Axelrod, R. and VanDeveer, S. (eds.) (2015). The Global Environment. Institutions, Law and Policy. 4th ed., Los Angeles, London, New Delhi: Sage Publications. </w:t>
      </w:r>
    </w:p>
    <w:p w14:paraId="0551E576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Betsill, M., Hochstetler, K. &amp; </w:t>
      </w:r>
      <w:proofErr w:type="spellStart"/>
      <w:r w:rsidRPr="00477986">
        <w:rPr>
          <w:lang w:val="en-GB"/>
        </w:rPr>
        <w:t>Sevis</w:t>
      </w:r>
      <w:proofErr w:type="spellEnd"/>
      <w:r w:rsidRPr="00477986">
        <w:rPr>
          <w:lang w:val="en-GB"/>
        </w:rPr>
        <w:t>, D. (Eds.) (2014). Advances in International</w:t>
      </w:r>
      <w:r>
        <w:rPr>
          <w:lang w:val="en-GB"/>
        </w:rPr>
        <w:t xml:space="preserve"> </w:t>
      </w:r>
      <w:r w:rsidRPr="00477986">
        <w:rPr>
          <w:lang w:val="en-GB"/>
        </w:rPr>
        <w:t>Environmental Politics. 2nd ed. New York, NY: Palgrave Macmillan.</w:t>
      </w:r>
    </w:p>
    <w:p w14:paraId="31DC83FC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Biermann, F. (2014). Earth System Governance. World Politics in the Anthropocene. London, UK; Cambridge, MA: MIT Press.</w:t>
      </w:r>
    </w:p>
    <w:p w14:paraId="73C02326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proofErr w:type="spellStart"/>
      <w:r w:rsidRPr="00477986">
        <w:rPr>
          <w:lang w:val="en-GB"/>
        </w:rPr>
        <w:t>DeSombre</w:t>
      </w:r>
      <w:proofErr w:type="spellEnd"/>
      <w:r w:rsidRPr="00477986">
        <w:rPr>
          <w:lang w:val="en-GB"/>
        </w:rPr>
        <w:t>, E. R. (2007). The Global Environment and World Politics. 2nd ed. London, UK: Continuum International Pub. Group.</w:t>
      </w:r>
    </w:p>
    <w:p w14:paraId="2D116962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Nicholson, S. and Wapner, P. (eds.) (2016). Global Environmental Politics: From Person to Planet, Paradigm Publisher.</w:t>
      </w:r>
    </w:p>
    <w:p w14:paraId="1004A2C1" w14:textId="77777777" w:rsidR="000B6F59" w:rsidRPr="00477986" w:rsidRDefault="000B6F59" w:rsidP="00F95EB5">
      <w:pPr>
        <w:pStyle w:val="Rubrik3"/>
        <w:jc w:val="left"/>
        <w:rPr>
          <w:lang w:val="en-GB"/>
        </w:rPr>
      </w:pPr>
      <w:bookmarkStart w:id="14" w:name="_Toc49948868"/>
      <w:bookmarkStart w:id="15" w:name="_Toc49949234"/>
      <w:r w:rsidRPr="00477986">
        <w:rPr>
          <w:lang w:val="en-GB"/>
        </w:rPr>
        <w:t>EU environmental governance</w:t>
      </w:r>
      <w:bookmarkEnd w:id="14"/>
      <w:bookmarkEnd w:id="15"/>
    </w:p>
    <w:p w14:paraId="1CE48AE6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Hix, S. &amp; Høyland, B. (2011). The Political System of the European Union. 3rd ed. Basingstoke, UK: Palgrave Macmillan.</w:t>
      </w:r>
    </w:p>
    <w:p w14:paraId="06B169A8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Jordan, A. &amp; Adelle, C. (2013). Environmental Policy in the European Union: actors, institutions and processes. 3rd ed. London, UK: Earthscan. (2nd ed. available electronically via Ebrary)</w:t>
      </w:r>
    </w:p>
    <w:p w14:paraId="5F2F0C2D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Krämer, L. (2016). EU Environmental Law. 8th ed. London, UK: Sweet &amp; Maxwell.</w:t>
      </w:r>
    </w:p>
    <w:p w14:paraId="2AF2F264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proofErr w:type="spellStart"/>
      <w:r w:rsidRPr="00477986">
        <w:rPr>
          <w:lang w:val="en-GB"/>
        </w:rPr>
        <w:t>Oberthür</w:t>
      </w:r>
      <w:proofErr w:type="spellEnd"/>
      <w:r w:rsidRPr="00477986">
        <w:rPr>
          <w:lang w:val="en-GB"/>
        </w:rPr>
        <w:t xml:space="preserve">, S. &amp; </w:t>
      </w:r>
      <w:proofErr w:type="spellStart"/>
      <w:r w:rsidRPr="00477986">
        <w:rPr>
          <w:lang w:val="en-GB"/>
        </w:rPr>
        <w:t>Pallemaerts</w:t>
      </w:r>
      <w:proofErr w:type="spellEnd"/>
      <w:r w:rsidRPr="00477986">
        <w:rPr>
          <w:lang w:val="en-GB"/>
        </w:rPr>
        <w:t>, M. (Eds.) (2010). The New Climate Policies of the European Union: Internal Legislation and Climate Diplomacy. Brussels, BE: Brussels University Press.</w:t>
      </w:r>
    </w:p>
    <w:p w14:paraId="4549AA37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Wiener, A. &amp; Dietz, T. (2009). European Integration Theory. 2nd ed. Oxford, UK: Oxford University Press. </w:t>
      </w:r>
    </w:p>
    <w:p w14:paraId="3613C930" w14:textId="77777777" w:rsidR="000B6F59" w:rsidRPr="00477986" w:rsidRDefault="000B6F59" w:rsidP="00933AF0">
      <w:pPr>
        <w:pStyle w:val="Rubrik3"/>
        <w:rPr>
          <w:lang w:val="en-GB"/>
        </w:rPr>
      </w:pPr>
      <w:r w:rsidRPr="00477986">
        <w:rPr>
          <w:lang w:val="en-GB"/>
        </w:rPr>
        <w:t>Transnational environmental governance</w:t>
      </w:r>
    </w:p>
    <w:p w14:paraId="3019FBAC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Betsill, M. &amp; Corell, E. (eds.) (2008). NGO diplomacy: The Influence of Non-Governmental Organisations in International Environmental Organizations. Cambridge, MA &amp; London: The MIT Press.</w:t>
      </w:r>
    </w:p>
    <w:p w14:paraId="6FD8C907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Christoff, P. &amp; Eckersley, R. (2013). Globalization and the Environment. Plymouth, UK: Rowman and Littlefield Publishers Inc.  </w:t>
      </w:r>
    </w:p>
    <w:p w14:paraId="6AA4FFAF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proofErr w:type="spellStart"/>
      <w:r w:rsidRPr="00477986">
        <w:rPr>
          <w:lang w:val="en-GB"/>
        </w:rPr>
        <w:lastRenderedPageBreak/>
        <w:t>Dauvergne</w:t>
      </w:r>
      <w:proofErr w:type="spellEnd"/>
      <w:r w:rsidRPr="00477986">
        <w:rPr>
          <w:lang w:val="en-GB"/>
        </w:rPr>
        <w:t>, P. &amp; Lister, J. (2011). Timber. Cambridge, UK; Malden, MA: Polity Press.</w:t>
      </w:r>
    </w:p>
    <w:p w14:paraId="56F1DD60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Hoffmann, M. J. (2011). Climate Governance at the Crossroads: Experimenting with a Global Response after Kyoto. Oxford, UK: Oxford University Press. </w:t>
      </w:r>
    </w:p>
    <w:p w14:paraId="17C68EEF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Escobar, A. (2008) Territories of Difference: Place, Movements, Life, Duke University Press.</w:t>
      </w:r>
    </w:p>
    <w:p w14:paraId="63C9851B" w14:textId="372582FE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Newell, P. (2012). Globalization and the Environment. Capitalism, Ecology and</w:t>
      </w:r>
      <w:r w:rsidR="00933AF0">
        <w:rPr>
          <w:lang w:val="en-GB"/>
        </w:rPr>
        <w:t xml:space="preserve"> </w:t>
      </w:r>
      <w:r w:rsidRPr="00477986">
        <w:rPr>
          <w:lang w:val="en-GB"/>
        </w:rPr>
        <w:t>Power. Cambridge, UK; Malden, MA: Polity Press.</w:t>
      </w:r>
    </w:p>
    <w:p w14:paraId="4504591D" w14:textId="77777777" w:rsidR="000B6F59" w:rsidRPr="00477986" w:rsidRDefault="000B6F59" w:rsidP="00F95EB5">
      <w:pPr>
        <w:pStyle w:val="Rubrik3"/>
        <w:jc w:val="left"/>
        <w:rPr>
          <w:lang w:val="en-GB"/>
        </w:rPr>
      </w:pPr>
      <w:bookmarkStart w:id="16" w:name="_Toc49948869"/>
      <w:bookmarkStart w:id="17" w:name="_Toc49949235"/>
      <w:r w:rsidRPr="00477986">
        <w:rPr>
          <w:lang w:val="en-GB"/>
        </w:rPr>
        <w:t>Literature for the role play (recommended, but not exhaustive, resources)</w:t>
      </w:r>
      <w:bookmarkEnd w:id="16"/>
      <w:bookmarkEnd w:id="17"/>
      <w:r w:rsidRPr="00477986">
        <w:rPr>
          <w:lang w:val="en-GB"/>
        </w:rPr>
        <w:t xml:space="preserve"> </w:t>
      </w:r>
    </w:p>
    <w:p w14:paraId="6A9A1F4B" w14:textId="42096B8D" w:rsidR="00E17F22" w:rsidRPr="008C2609" w:rsidRDefault="00E17F22" w:rsidP="00E17F22">
      <w:pPr>
        <w:ind w:left="284" w:hanging="284"/>
        <w:rPr>
          <w:lang w:val="en-GB"/>
        </w:rPr>
      </w:pPr>
      <w:r w:rsidRPr="008C2609">
        <w:rPr>
          <w:lang w:val="en-GB"/>
        </w:rPr>
        <w:t>Åberg, A. and Jeffs, N. 2022</w:t>
      </w:r>
      <w:r>
        <w:rPr>
          <w:lang w:val="en-GB"/>
        </w:rPr>
        <w:t>.</w:t>
      </w:r>
      <w:r w:rsidRPr="008C2609">
        <w:rPr>
          <w:lang w:val="en-GB"/>
        </w:rPr>
        <w:t xml:space="preserve"> Loss and Damage finance in the climate negotiations: Key challenges and next steps, Research Paper, London: Royal Institute of International Affairs, </w:t>
      </w:r>
      <w:hyperlink r:id="rId11" w:history="1">
        <w:r w:rsidRPr="008C2609">
          <w:rPr>
            <w:rStyle w:val="Hyperlnk"/>
            <w:lang w:val="en-GB"/>
          </w:rPr>
          <w:t>https://doi.org/10.55317/9781784135461</w:t>
        </w:r>
      </w:hyperlink>
      <w:r>
        <w:rPr>
          <w:lang w:val="en-GB"/>
        </w:rPr>
        <w:t>.</w:t>
      </w:r>
      <w:r>
        <w:rPr>
          <w:lang w:val="en-GB"/>
        </w:rPr>
        <w:t xml:space="preserve"> Very good to help you find party positions.</w:t>
      </w:r>
    </w:p>
    <w:p w14:paraId="1AC76B9E" w14:textId="646A60C0" w:rsidR="00FC1E59" w:rsidRDefault="00FC1E59" w:rsidP="00FC1E59">
      <w:pPr>
        <w:ind w:left="567" w:hanging="567"/>
        <w:jc w:val="left"/>
        <w:rPr>
          <w:lang w:val="en-GB"/>
        </w:rPr>
      </w:pPr>
      <w:r w:rsidRPr="00FC1E59">
        <w:t>Andrade</w:t>
      </w:r>
      <w:r>
        <w:t>, J.</w:t>
      </w:r>
      <w:r w:rsidRPr="00FC1E59">
        <w:t xml:space="preserve"> </w:t>
      </w:r>
      <w:r>
        <w:t>&amp;</w:t>
      </w:r>
      <w:r w:rsidRPr="00FC1E59">
        <w:t xml:space="preserve"> </w:t>
      </w:r>
      <w:proofErr w:type="spellStart"/>
      <w:r w:rsidRPr="00FC1E59">
        <w:t>Puppim</w:t>
      </w:r>
      <w:proofErr w:type="spellEnd"/>
      <w:r w:rsidRPr="00FC1E59">
        <w:t xml:space="preserve"> de Oliveira</w:t>
      </w:r>
      <w:r>
        <w:t>, J</w:t>
      </w:r>
      <w:r w:rsidRPr="00FC1E59">
        <w:t xml:space="preserve">. (2015). </w:t>
      </w:r>
      <w:r w:rsidRPr="00FC1E59">
        <w:rPr>
          <w:lang w:val="en-GB"/>
        </w:rPr>
        <w:t>The Role of the Private Sector in Global Climate and Energy</w:t>
      </w:r>
      <w:r>
        <w:rPr>
          <w:lang w:val="en-GB"/>
        </w:rPr>
        <w:t xml:space="preserve"> </w:t>
      </w:r>
      <w:r w:rsidRPr="00FC1E59">
        <w:rPr>
          <w:lang w:val="en-GB"/>
        </w:rPr>
        <w:t>Governance</w:t>
      </w:r>
      <w:r>
        <w:rPr>
          <w:lang w:val="en-GB"/>
        </w:rPr>
        <w:t xml:space="preserve">. </w:t>
      </w:r>
      <w:r w:rsidRPr="00FC1E59">
        <w:rPr>
          <w:lang w:val="en-GB"/>
        </w:rPr>
        <w:t>J</w:t>
      </w:r>
      <w:r>
        <w:rPr>
          <w:lang w:val="en-GB"/>
        </w:rPr>
        <w:t>ournal</w:t>
      </w:r>
      <w:r w:rsidRPr="00FC1E59">
        <w:rPr>
          <w:lang w:val="en-GB"/>
        </w:rPr>
        <w:t xml:space="preserve"> </w:t>
      </w:r>
      <w:r>
        <w:rPr>
          <w:lang w:val="en-GB"/>
        </w:rPr>
        <w:t xml:space="preserve">of </w:t>
      </w:r>
      <w:r w:rsidRPr="00FC1E59">
        <w:rPr>
          <w:lang w:val="en-GB"/>
        </w:rPr>
        <w:t>Bus</w:t>
      </w:r>
      <w:r>
        <w:rPr>
          <w:lang w:val="en-GB"/>
        </w:rPr>
        <w:t>iness</w:t>
      </w:r>
      <w:r w:rsidRPr="00FC1E59">
        <w:rPr>
          <w:lang w:val="en-GB"/>
        </w:rPr>
        <w:t xml:space="preserve"> Ethics</w:t>
      </w:r>
      <w:r>
        <w:rPr>
          <w:lang w:val="en-GB"/>
        </w:rPr>
        <w:t xml:space="preserve">, </w:t>
      </w:r>
      <w:r w:rsidRPr="00FC1E59">
        <w:rPr>
          <w:lang w:val="en-GB"/>
        </w:rPr>
        <w:t>130</w:t>
      </w:r>
      <w:r>
        <w:rPr>
          <w:lang w:val="en-GB"/>
        </w:rPr>
        <w:t xml:space="preserve">, </w:t>
      </w:r>
      <w:r w:rsidRPr="00FC1E59">
        <w:rPr>
          <w:lang w:val="en-GB"/>
        </w:rPr>
        <w:t>375–387</w:t>
      </w:r>
      <w:r>
        <w:rPr>
          <w:lang w:val="en-GB"/>
        </w:rPr>
        <w:t>.</w:t>
      </w:r>
    </w:p>
    <w:p w14:paraId="52DB947C" w14:textId="7DE2D5F6" w:rsidR="000B6F59" w:rsidRPr="00477986" w:rsidRDefault="000B6F59" w:rsidP="00F95EB5">
      <w:pPr>
        <w:ind w:left="567" w:hanging="567"/>
        <w:jc w:val="left"/>
      </w:pPr>
      <w:r w:rsidRPr="00477986">
        <w:rPr>
          <w:lang w:val="en-GB"/>
        </w:rPr>
        <w:t xml:space="preserve">Bang, G. (2015). The United States. In K. Bäckstrand &amp; E. </w:t>
      </w:r>
      <w:proofErr w:type="spellStart"/>
      <w:r w:rsidRPr="00477986">
        <w:rPr>
          <w:lang w:val="en-GB"/>
        </w:rPr>
        <w:t>Lövbrand</w:t>
      </w:r>
      <w:proofErr w:type="spellEnd"/>
      <w:r w:rsidRPr="00477986">
        <w:rPr>
          <w:lang w:val="en-GB"/>
        </w:rPr>
        <w:t xml:space="preserve"> (Eds.), Research Handbook on Climate Governance (pp. 213-223). </w:t>
      </w:r>
      <w:r w:rsidRPr="00477986">
        <w:t>Cheltenham: Edward Elgar Press.</w:t>
      </w:r>
    </w:p>
    <w:p w14:paraId="4CDC48EA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t xml:space="preserve">Bang, G., Hovi, J. &amp; </w:t>
      </w:r>
      <w:proofErr w:type="spellStart"/>
      <w:r w:rsidRPr="00477986">
        <w:t>Skodvin</w:t>
      </w:r>
      <w:proofErr w:type="spellEnd"/>
      <w:r w:rsidRPr="00477986">
        <w:t xml:space="preserve">, T. (2016). </w:t>
      </w:r>
      <w:r w:rsidRPr="00477986">
        <w:rPr>
          <w:lang w:val="en-GB"/>
        </w:rPr>
        <w:t>The Paris Agreement: Short-Term and Long-Term Effectiveness. Politics and Governance, 4(3), 209-218.</w:t>
      </w:r>
    </w:p>
    <w:p w14:paraId="39E61A1E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Barnett, J. (2008). The Worst of Friends: OPEC and the G77 in the Climate Regime. Global Environmental Politics, 8(4), 1-8.</w:t>
      </w:r>
    </w:p>
    <w:p w14:paraId="3885B96C" w14:textId="6832E306" w:rsidR="00790125" w:rsidRPr="00790125" w:rsidRDefault="00790125" w:rsidP="00F95EB5">
      <w:pPr>
        <w:ind w:left="567" w:hanging="567"/>
        <w:jc w:val="left"/>
        <w:rPr>
          <w:lang w:val="en-GB"/>
        </w:rPr>
      </w:pPr>
      <w:r w:rsidRPr="00790125">
        <w:rPr>
          <w:lang w:val="en-GB"/>
        </w:rPr>
        <w:t>Barnett</w:t>
      </w:r>
      <w:r>
        <w:rPr>
          <w:lang w:val="en-GB"/>
        </w:rPr>
        <w:t>, J.</w:t>
      </w:r>
      <w:r w:rsidRPr="00790125">
        <w:rPr>
          <w:lang w:val="en-GB"/>
        </w:rPr>
        <w:t xml:space="preserve"> &amp; </w:t>
      </w:r>
      <w:proofErr w:type="spellStart"/>
      <w:r w:rsidRPr="00790125">
        <w:rPr>
          <w:lang w:val="en-GB"/>
        </w:rPr>
        <w:t>Dessai</w:t>
      </w:r>
      <w:proofErr w:type="spellEnd"/>
      <w:r>
        <w:rPr>
          <w:lang w:val="en-GB"/>
        </w:rPr>
        <w:t>, S.</w:t>
      </w:r>
      <w:r w:rsidRPr="00790125">
        <w:rPr>
          <w:lang w:val="en-GB"/>
        </w:rPr>
        <w:t xml:space="preserve"> (2002)</w:t>
      </w:r>
      <w:r>
        <w:rPr>
          <w:lang w:val="en-GB"/>
        </w:rPr>
        <w:t>.</w:t>
      </w:r>
      <w:r w:rsidRPr="00790125">
        <w:rPr>
          <w:lang w:val="en-GB"/>
        </w:rPr>
        <w:t xml:space="preserve"> Articles 4.8 and 4.9 of the UNFCCC: adverse effects and the impacts of response measures, Climate Policy, 2</w:t>
      </w:r>
      <w:r>
        <w:rPr>
          <w:lang w:val="en-GB"/>
        </w:rPr>
        <w:t>(</w:t>
      </w:r>
      <w:r w:rsidRPr="00790125">
        <w:rPr>
          <w:lang w:val="en-GB"/>
        </w:rPr>
        <w:t>2-3</w:t>
      </w:r>
      <w:r>
        <w:rPr>
          <w:lang w:val="en-GB"/>
        </w:rPr>
        <w:t>)</w:t>
      </w:r>
      <w:r w:rsidRPr="00790125">
        <w:rPr>
          <w:lang w:val="en-GB"/>
        </w:rPr>
        <w:t>, 231-239</w:t>
      </w:r>
      <w:r>
        <w:rPr>
          <w:lang w:val="en-GB"/>
        </w:rPr>
        <w:t>.</w:t>
      </w:r>
    </w:p>
    <w:p w14:paraId="4B84B3F5" w14:textId="1116F370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Beck, S. (2011). Moving Beyond the Linear Model of Expertise? IPCC and the Test of Adaptation. Regional Environmental Change, 11(2), 297-306. </w:t>
      </w:r>
    </w:p>
    <w:p w14:paraId="3CF8ADA6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Beck, S. (2015). Science. In K. Bäckstrand &amp; E. </w:t>
      </w:r>
      <w:proofErr w:type="spellStart"/>
      <w:r w:rsidRPr="00477986">
        <w:rPr>
          <w:lang w:val="en-GB"/>
        </w:rPr>
        <w:t>Lövbrand</w:t>
      </w:r>
      <w:proofErr w:type="spellEnd"/>
      <w:r w:rsidRPr="00477986">
        <w:rPr>
          <w:lang w:val="en-GB"/>
        </w:rPr>
        <w:t xml:space="preserve"> (Eds.), Research Handbook on Climate Governance (pp. 286-296). Cheltenham: Edward Elgar Press. </w:t>
      </w:r>
    </w:p>
    <w:p w14:paraId="2B2A8582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Betsill, M. (2015). NGOs. In K. Bäckstrand &amp; E. </w:t>
      </w:r>
      <w:proofErr w:type="spellStart"/>
      <w:r w:rsidRPr="00477986">
        <w:rPr>
          <w:lang w:val="en-GB"/>
        </w:rPr>
        <w:t>Lövbrand</w:t>
      </w:r>
      <w:proofErr w:type="spellEnd"/>
      <w:r w:rsidRPr="00477986">
        <w:rPr>
          <w:lang w:val="en-GB"/>
        </w:rPr>
        <w:t xml:space="preserve"> (Eds.), Research Handbook on Climate Governance (pp. 251-261). Cheltenham: Edward Elgar Press.</w:t>
      </w:r>
    </w:p>
    <w:p w14:paraId="19509BA7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Betzold, C. (2010). ‘Borrowing’ power to influence international negotiations: AOSIS in the climate change regime, 1990-1997. Politics, 30(3), 131-148.</w:t>
      </w:r>
    </w:p>
    <w:p w14:paraId="44701DD3" w14:textId="754B47D0" w:rsidR="000B6F59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Betzold, C., Castro, P. &amp; Weiler, F. (2012). AOSIS in the UNFCCC negotiations. From unity to fragmentation? Climate Policy, 12(5), 591-613.</w:t>
      </w:r>
    </w:p>
    <w:p w14:paraId="640EFBDC" w14:textId="0537776F" w:rsidR="00FC1E59" w:rsidRPr="00477986" w:rsidRDefault="00FC1E59" w:rsidP="00FC1E59">
      <w:pPr>
        <w:ind w:left="567" w:hanging="567"/>
        <w:jc w:val="left"/>
        <w:rPr>
          <w:lang w:val="en-GB"/>
        </w:rPr>
      </w:pPr>
      <w:r w:rsidRPr="00EF1F2B">
        <w:rPr>
          <w:lang w:val="en-GB"/>
        </w:rPr>
        <w:t>Betzold</w:t>
      </w:r>
      <w:r>
        <w:rPr>
          <w:lang w:val="en-GB"/>
        </w:rPr>
        <w:t>, C.</w:t>
      </w:r>
      <w:r w:rsidRPr="00EF1F2B">
        <w:rPr>
          <w:lang w:val="en-GB"/>
        </w:rPr>
        <w:t xml:space="preserve"> (2013)</w:t>
      </w:r>
      <w:r>
        <w:rPr>
          <w:lang w:val="en-GB"/>
        </w:rPr>
        <w:t xml:space="preserve">. </w:t>
      </w:r>
      <w:r w:rsidRPr="00FC1E59">
        <w:rPr>
          <w:lang w:val="en-GB"/>
        </w:rPr>
        <w:t>Business Insiders and Environmental</w:t>
      </w:r>
      <w:r>
        <w:rPr>
          <w:lang w:val="en-GB"/>
        </w:rPr>
        <w:t xml:space="preserve"> </w:t>
      </w:r>
      <w:r w:rsidRPr="00FC1E59">
        <w:rPr>
          <w:lang w:val="en-GB"/>
        </w:rPr>
        <w:t xml:space="preserve">Outsiders? Advocacy </w:t>
      </w:r>
      <w:r>
        <w:rPr>
          <w:lang w:val="en-GB"/>
        </w:rPr>
        <w:t>S</w:t>
      </w:r>
      <w:r w:rsidRPr="00FC1E59">
        <w:rPr>
          <w:lang w:val="en-GB"/>
        </w:rPr>
        <w:t>trategies in</w:t>
      </w:r>
      <w:r>
        <w:rPr>
          <w:lang w:val="en-GB"/>
        </w:rPr>
        <w:t xml:space="preserve"> </w:t>
      </w:r>
      <w:r w:rsidRPr="00FC1E59">
        <w:rPr>
          <w:lang w:val="en-GB"/>
        </w:rPr>
        <w:t>International Climate Change</w:t>
      </w:r>
      <w:r>
        <w:rPr>
          <w:lang w:val="en-GB"/>
        </w:rPr>
        <w:t xml:space="preserve"> </w:t>
      </w:r>
      <w:r w:rsidRPr="00FC1E59">
        <w:rPr>
          <w:lang w:val="en-GB"/>
        </w:rPr>
        <w:t>Negotiations</w:t>
      </w:r>
      <w:r>
        <w:rPr>
          <w:lang w:val="en-GB"/>
        </w:rPr>
        <w:t xml:space="preserve">. </w:t>
      </w:r>
      <w:r w:rsidR="00CF6CEC" w:rsidRPr="00CF6CEC">
        <w:rPr>
          <w:lang w:val="en-GB"/>
        </w:rPr>
        <w:t>Interest Groups &amp; Advocacy</w:t>
      </w:r>
      <w:r w:rsidR="00CF6CEC">
        <w:rPr>
          <w:lang w:val="en-GB"/>
        </w:rPr>
        <w:t>,</w:t>
      </w:r>
      <w:r w:rsidR="00CF6CEC" w:rsidRPr="00CF6CEC">
        <w:rPr>
          <w:lang w:val="en-GB"/>
        </w:rPr>
        <w:t xml:space="preserve"> 2</w:t>
      </w:r>
      <w:r w:rsidR="00CF6CEC">
        <w:rPr>
          <w:lang w:val="en-GB"/>
        </w:rPr>
        <w:t>(</w:t>
      </w:r>
      <w:r w:rsidR="00CF6CEC" w:rsidRPr="00CF6CEC">
        <w:rPr>
          <w:lang w:val="en-GB"/>
        </w:rPr>
        <w:t>3</w:t>
      </w:r>
      <w:r w:rsidR="00CF6CEC">
        <w:rPr>
          <w:lang w:val="en-GB"/>
        </w:rPr>
        <w:t>)</w:t>
      </w:r>
      <w:r w:rsidR="00CF6CEC" w:rsidRPr="00CF6CEC">
        <w:rPr>
          <w:lang w:val="en-GB"/>
        </w:rPr>
        <w:t>, 302</w:t>
      </w:r>
      <w:r w:rsidR="00CF6CEC">
        <w:rPr>
          <w:lang w:val="en-GB"/>
        </w:rPr>
        <w:t>-</w:t>
      </w:r>
      <w:r w:rsidR="00CF6CEC" w:rsidRPr="00CF6CEC">
        <w:rPr>
          <w:lang w:val="en-GB"/>
        </w:rPr>
        <w:t>322</w:t>
      </w:r>
      <w:r w:rsidR="00CF6CEC">
        <w:rPr>
          <w:lang w:val="en-GB"/>
        </w:rPr>
        <w:t>.</w:t>
      </w:r>
    </w:p>
    <w:p w14:paraId="381135C0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lastRenderedPageBreak/>
        <w:t>Bodansky, D. (2016). The Legal Character of the Paris Agreement. Review of European, Comparative &amp; International Environmental Law, 25(2), 142-150.</w:t>
      </w:r>
    </w:p>
    <w:p w14:paraId="6801DABF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proofErr w:type="spellStart"/>
      <w:r w:rsidRPr="00477986">
        <w:rPr>
          <w:lang w:val="en-GB"/>
        </w:rPr>
        <w:t>Chasek</w:t>
      </w:r>
      <w:proofErr w:type="spellEnd"/>
      <w:r w:rsidRPr="00477986">
        <w:rPr>
          <w:lang w:val="en-GB"/>
        </w:rPr>
        <w:t>, P. (2005). Margins of Power: Coalition Building and Coalition Maintenance of the South Pacific Island States and Alliance of Small Island States. Review of European Community and International Environmental Law, 14(2), 125-137.</w:t>
      </w:r>
    </w:p>
    <w:p w14:paraId="2A31BA70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Christoff, P. (2006). Post-Kyoto? Post-Bush? Towards an effective climate coalition of willing. International Affairs, 82(5), 831-860.</w:t>
      </w:r>
    </w:p>
    <w:p w14:paraId="50CA277D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Christoff, P. (2010). Cold Climate in Copenhagen: China and the United States at COP 15. Environmental Politics, 19(4), 637-656.</w:t>
      </w:r>
    </w:p>
    <w:p w14:paraId="7659C737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Christoff, P. (2016). The Promissory Note: COP 21 and the Paris Climate Agreement. Environmental Politics, 25(5), 765-787.</w:t>
      </w:r>
    </w:p>
    <w:p w14:paraId="6D3C7CE4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0B6F59">
        <w:rPr>
          <w:lang w:val="en-US"/>
        </w:rPr>
        <w:t xml:space="preserve">Claes, H. D. &amp; Hveem, H. (2016). </w:t>
      </w:r>
      <w:r w:rsidRPr="00477986">
        <w:rPr>
          <w:lang w:val="en-GB"/>
        </w:rPr>
        <w:t>From Paris to the End of Oil. Politics and Governance, 4(3), 197-208.</w:t>
      </w:r>
    </w:p>
    <w:p w14:paraId="44903708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proofErr w:type="spellStart"/>
      <w:r w:rsidRPr="00477986">
        <w:rPr>
          <w:lang w:val="en-GB"/>
        </w:rPr>
        <w:t>Clemencon</w:t>
      </w:r>
      <w:proofErr w:type="spellEnd"/>
      <w:r w:rsidRPr="00477986">
        <w:rPr>
          <w:lang w:val="en-GB"/>
        </w:rPr>
        <w:t>, R. (2016). The Two Sides of the Paris Climate Agreement: Dismal Failure or Historic Breakthrough? Journal of Environment &amp; Development, 25(1), 3–24.</w:t>
      </w:r>
    </w:p>
    <w:p w14:paraId="5AAB8A06" w14:textId="2F1A78BA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Dimitrov, R. S. (2010). Inside Copenhagen: The State of Climate Governance.</w:t>
      </w:r>
      <w:r w:rsidR="00F35835">
        <w:rPr>
          <w:lang w:val="en-GB"/>
        </w:rPr>
        <w:t xml:space="preserve"> </w:t>
      </w:r>
      <w:r w:rsidRPr="00477986">
        <w:rPr>
          <w:lang w:val="en-GB"/>
        </w:rPr>
        <w:t>Global Environmental Politics, 10(2), 18-24.</w:t>
      </w:r>
    </w:p>
    <w:p w14:paraId="01DAF8CD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Dimitrov, R. (2016). The Paris Agreement on Climate Change: Behind Closed Doors. Global Environmental Politics, 16(3), 1-11. </w:t>
      </w:r>
    </w:p>
    <w:p w14:paraId="4887842C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Dombrowski, K. (2010). Filling the gap? An analysis of non-governmental organizations responses to participation and representation deficits in global climate governance. International Environmental Agreements, 10(4), 397-416.</w:t>
      </w:r>
    </w:p>
    <w:p w14:paraId="11E67291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Dupont, C. &amp; </w:t>
      </w:r>
      <w:proofErr w:type="spellStart"/>
      <w:r w:rsidRPr="00477986">
        <w:rPr>
          <w:lang w:val="en-GB"/>
        </w:rPr>
        <w:t>Oberthür</w:t>
      </w:r>
      <w:proofErr w:type="spellEnd"/>
      <w:r w:rsidRPr="00477986">
        <w:rPr>
          <w:lang w:val="en-GB"/>
        </w:rPr>
        <w:t xml:space="preserve">, S. (2015). The European Union. In K. Bäckstrand &amp; E. </w:t>
      </w:r>
      <w:proofErr w:type="spellStart"/>
      <w:r w:rsidRPr="00477986">
        <w:rPr>
          <w:lang w:val="en-GB"/>
        </w:rPr>
        <w:t>Lövbrand</w:t>
      </w:r>
      <w:proofErr w:type="spellEnd"/>
      <w:r w:rsidRPr="00477986">
        <w:rPr>
          <w:lang w:val="en-GB"/>
        </w:rPr>
        <w:t xml:space="preserve"> (Eds.), Research Handbook on Climate Governance (pp. 224-236). Cheltenham: Edward Elgar Press.</w:t>
      </w:r>
    </w:p>
    <w:p w14:paraId="50C5E257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Duwe, M. (2001). The Climate Action Network: A Glance Behind the Curtains of a</w:t>
      </w:r>
      <w:r>
        <w:rPr>
          <w:lang w:val="en-GB"/>
        </w:rPr>
        <w:t xml:space="preserve"> </w:t>
      </w:r>
      <w:r w:rsidRPr="00477986">
        <w:rPr>
          <w:lang w:val="en-GB"/>
        </w:rPr>
        <w:t>Transnational NGO Network. RECIEL, 10(2), 177–189.</w:t>
      </w:r>
    </w:p>
    <w:p w14:paraId="52891040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Eckersley, R. (2012). Moving forward in the climate negotiations: multilateralism or </w:t>
      </w:r>
      <w:proofErr w:type="spellStart"/>
      <w:r w:rsidRPr="00477986">
        <w:rPr>
          <w:lang w:val="en-GB"/>
        </w:rPr>
        <w:t>minilateralism</w:t>
      </w:r>
      <w:proofErr w:type="spellEnd"/>
      <w:r w:rsidRPr="00477986">
        <w:rPr>
          <w:lang w:val="en-GB"/>
        </w:rPr>
        <w:t>? Global Environmental Politics, 12(2), 24-42.</w:t>
      </w:r>
    </w:p>
    <w:p w14:paraId="71A3E1B8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Fisher, D. R. (2010). COP 15 in Copenhagen: How the Merging of Movements Left Civil Society out in the Cold. Global Environmental Politics, 10(2), 11-17.</w:t>
      </w:r>
    </w:p>
    <w:p w14:paraId="37174063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Fisher, D. &amp; Galli, A. (2015). Civil society. In K. Bäckstrand &amp; E. </w:t>
      </w:r>
      <w:proofErr w:type="spellStart"/>
      <w:r w:rsidRPr="00477986">
        <w:rPr>
          <w:lang w:val="en-GB"/>
        </w:rPr>
        <w:t>Lövbrand</w:t>
      </w:r>
      <w:proofErr w:type="spellEnd"/>
      <w:r w:rsidRPr="00477986">
        <w:rPr>
          <w:lang w:val="en-GB"/>
        </w:rPr>
        <w:t xml:space="preserve"> (Eds.), Research Handbook on Climate Governance (pp. 297-308). Cheltenham: Edward Elgar Press.</w:t>
      </w:r>
    </w:p>
    <w:p w14:paraId="120DE937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0B6F59">
        <w:rPr>
          <w:lang w:val="en-US"/>
        </w:rPr>
        <w:t xml:space="preserve">Friman, M. &amp; </w:t>
      </w:r>
      <w:proofErr w:type="spellStart"/>
      <w:r w:rsidRPr="000B6F59">
        <w:rPr>
          <w:lang w:val="en-US"/>
        </w:rPr>
        <w:t>Linnér</w:t>
      </w:r>
      <w:proofErr w:type="spellEnd"/>
      <w:r w:rsidRPr="000B6F59">
        <w:rPr>
          <w:lang w:val="en-US"/>
        </w:rPr>
        <w:t xml:space="preserve">, B.-O. (2008). </w:t>
      </w:r>
      <w:r w:rsidRPr="00477986">
        <w:rPr>
          <w:lang w:val="en-GB"/>
        </w:rPr>
        <w:t>Technology Obscuring Equity: Historical Responsibility in UNFCCC Negotiations. Climate Policy, 8(4), 339-354.</w:t>
      </w:r>
    </w:p>
    <w:p w14:paraId="3AB88EE4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Grubb, M. (2010). Copenhagen: Back to the Future? Climate Policy, 10(2), 127-130.</w:t>
      </w:r>
    </w:p>
    <w:p w14:paraId="554E853D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lastRenderedPageBreak/>
        <w:t>Gupta, J. (2010). A history of international climate change policy. WIREs Climate Change, 1(5), 636-653.</w:t>
      </w:r>
    </w:p>
    <w:p w14:paraId="405A48C8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Hare, W., Stockwell, C., </w:t>
      </w:r>
      <w:proofErr w:type="spellStart"/>
      <w:r w:rsidRPr="00477986">
        <w:rPr>
          <w:lang w:val="en-GB"/>
        </w:rPr>
        <w:t>Flachsland</w:t>
      </w:r>
      <w:proofErr w:type="spellEnd"/>
      <w:r w:rsidRPr="00477986">
        <w:rPr>
          <w:lang w:val="en-GB"/>
        </w:rPr>
        <w:t xml:space="preserve">, C. &amp; </w:t>
      </w:r>
      <w:proofErr w:type="spellStart"/>
      <w:r w:rsidRPr="00477986">
        <w:rPr>
          <w:lang w:val="en-GB"/>
        </w:rPr>
        <w:t>Oberthür</w:t>
      </w:r>
      <w:proofErr w:type="spellEnd"/>
      <w:r w:rsidRPr="00477986">
        <w:rPr>
          <w:lang w:val="en-GB"/>
        </w:rPr>
        <w:t>, S. (2010). The architecture of a global climate regime: a top-down perspective. Climate Policy, 10(6), 600-614.</w:t>
      </w:r>
    </w:p>
    <w:p w14:paraId="62A6EF67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Hadden, J. (2014). Explaining Variation in Transnational Climate Change Activism: The Role of Inter-Movement Spillover. Global Environmental Politics, 14(2), 7-25. </w:t>
      </w:r>
    </w:p>
    <w:p w14:paraId="393B3EF3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Harris, P., Chow, A. &amp; Karlsson, R. (2013). China and climate justice: moving beyond statism. International Environmental Agreements – Politics, Law and Economics, 13(3), 291-305. </w:t>
      </w:r>
    </w:p>
    <w:p w14:paraId="30EAC5C6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Hulme, M. &amp; Mahony, M. (2010). Climate change: what do we know about the IPCC. Progress in Physical Geography, 34(5), 705-718.</w:t>
      </w:r>
    </w:p>
    <w:p w14:paraId="39B1FA12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Hurrell A. &amp; Sengupta S. (2012). Emerging powers, North-South relations and global climate politics. International Affairs, 88(3), 463-484.</w:t>
      </w:r>
    </w:p>
    <w:p w14:paraId="7BD366C4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0B6F59">
        <w:rPr>
          <w:lang w:val="en-US"/>
        </w:rPr>
        <w:t xml:space="preserve">Jonassen, R. &amp; Pielke Jr, R. (2011). </w:t>
      </w:r>
      <w:r w:rsidRPr="00477986">
        <w:rPr>
          <w:lang w:val="en-GB"/>
        </w:rPr>
        <w:t>Improving conveyance of uncertainties in the findings of the IPCC. Climatic Change, 108(4), 745-753.</w:t>
      </w:r>
    </w:p>
    <w:p w14:paraId="781A726C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Karlsson, R. (2012). Carbon lock-in, rebound effects and China at the limits of statism. Energy Policy, 51, 939-945.</w:t>
      </w:r>
    </w:p>
    <w:p w14:paraId="29A497F1" w14:textId="4972B42E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Kemp, L. (201</w:t>
      </w:r>
      <w:r w:rsidR="00FC1E59">
        <w:rPr>
          <w:lang w:val="en-GB"/>
        </w:rPr>
        <w:t>7</w:t>
      </w:r>
      <w:r w:rsidRPr="00477986">
        <w:rPr>
          <w:lang w:val="en-GB"/>
        </w:rPr>
        <w:t>). US-Proofing the Paris Climate Agreement. Climate Policy, 17(1), 86-101.</w:t>
      </w:r>
    </w:p>
    <w:p w14:paraId="2A65B206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0B6F59">
        <w:rPr>
          <w:lang w:val="en-US"/>
        </w:rPr>
        <w:t xml:space="preserve">Keohane, R. O. &amp; Oppenheimer, M. (2016). </w:t>
      </w:r>
      <w:r w:rsidRPr="00477986">
        <w:rPr>
          <w:lang w:val="en-GB"/>
        </w:rPr>
        <w:t>Paris: Beyond the Climate Dead End through Pledge and Review? Politics and Governance, 4(3), 142-151.</w:t>
      </w:r>
    </w:p>
    <w:p w14:paraId="5FBAEDE4" w14:textId="0D470DE0" w:rsidR="00CF6CEC" w:rsidRPr="00CF6CEC" w:rsidRDefault="00CF6CEC" w:rsidP="00CF6CEC">
      <w:pPr>
        <w:ind w:left="567" w:hanging="567"/>
        <w:jc w:val="left"/>
        <w:rPr>
          <w:lang w:val="en-GB"/>
        </w:rPr>
      </w:pPr>
      <w:r>
        <w:rPr>
          <w:lang w:val="en-GB"/>
        </w:rPr>
        <w:t xml:space="preserve">Levy, D. &amp; Egan, D. (1998). </w:t>
      </w:r>
      <w:r w:rsidRPr="00CF6CEC">
        <w:rPr>
          <w:lang w:val="en-GB"/>
        </w:rPr>
        <w:t>Capital Contests: National and Transnational Channels of Corporate</w:t>
      </w:r>
      <w:r>
        <w:rPr>
          <w:lang w:val="en-GB"/>
        </w:rPr>
        <w:t xml:space="preserve"> </w:t>
      </w:r>
      <w:r w:rsidRPr="00CF6CEC">
        <w:rPr>
          <w:lang w:val="en-GB"/>
        </w:rPr>
        <w:t>Influence on the Climate Change Negotiations</w:t>
      </w:r>
      <w:r>
        <w:rPr>
          <w:lang w:val="en-GB"/>
        </w:rPr>
        <w:t xml:space="preserve">. </w:t>
      </w:r>
      <w:r w:rsidRPr="00CF6CEC">
        <w:rPr>
          <w:lang w:val="en-GB"/>
        </w:rPr>
        <w:t xml:space="preserve">Politics </w:t>
      </w:r>
      <w:r>
        <w:rPr>
          <w:lang w:val="en-GB"/>
        </w:rPr>
        <w:t xml:space="preserve">&amp; </w:t>
      </w:r>
      <w:r w:rsidRPr="00CF6CEC">
        <w:rPr>
          <w:lang w:val="en-GB"/>
        </w:rPr>
        <w:t>Society</w:t>
      </w:r>
      <w:r>
        <w:rPr>
          <w:lang w:val="en-GB"/>
        </w:rPr>
        <w:t>,</w:t>
      </w:r>
      <w:r w:rsidRPr="00CF6CEC">
        <w:rPr>
          <w:lang w:val="en-GB"/>
        </w:rPr>
        <w:t xml:space="preserve"> 26</w:t>
      </w:r>
      <w:r>
        <w:rPr>
          <w:lang w:val="en-GB"/>
        </w:rPr>
        <w:t>,</w:t>
      </w:r>
      <w:r w:rsidRPr="00CF6CEC">
        <w:rPr>
          <w:lang w:val="en-GB"/>
        </w:rPr>
        <w:t xml:space="preserve"> 337</w:t>
      </w:r>
      <w:r>
        <w:rPr>
          <w:lang w:val="en-GB"/>
        </w:rPr>
        <w:t>-361.</w:t>
      </w:r>
    </w:p>
    <w:p w14:paraId="1A6B4FDF" w14:textId="3BED8436" w:rsidR="000B6F59" w:rsidRPr="00477986" w:rsidRDefault="000B6F59" w:rsidP="00F95EB5">
      <w:pPr>
        <w:ind w:left="567" w:hanging="567"/>
        <w:jc w:val="left"/>
        <w:rPr>
          <w:lang w:val="en-GB"/>
        </w:rPr>
      </w:pPr>
      <w:proofErr w:type="spellStart"/>
      <w:r w:rsidRPr="00477986">
        <w:rPr>
          <w:lang w:val="en-GB"/>
        </w:rPr>
        <w:t>Maljean</w:t>
      </w:r>
      <w:proofErr w:type="spellEnd"/>
      <w:r w:rsidRPr="00477986">
        <w:rPr>
          <w:lang w:val="en-GB"/>
        </w:rPr>
        <w:t>-Dubois, S. (2016). The Paris Agreement: A New Step in the Gradual Evolution of Differential Treatment in the Climate Regime? Review of European, Comparative &amp; International Environmental Law, 25(2), 151-160.</w:t>
      </w:r>
    </w:p>
    <w:p w14:paraId="21E3E0A0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0B6F59">
        <w:rPr>
          <w:lang w:val="en-US"/>
        </w:rPr>
        <w:t xml:space="preserve">Najam, A., Huq, S. &amp; Sokona, Y. (2003). </w:t>
      </w:r>
      <w:r w:rsidRPr="00477986">
        <w:rPr>
          <w:lang w:val="en-GB"/>
        </w:rPr>
        <w:t>Climate Negotiations Beyond Kyoto: Developing Countries Concerns and Interests. Climate Policy, 3(3), 221-231.</w:t>
      </w:r>
    </w:p>
    <w:p w14:paraId="3E2D1FF5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Orr, S. (2016). Institutional Control and Climate Change Activism at COP 21 in Paris. Global Environmental Politics, 16(3), 23-29. </w:t>
      </w:r>
    </w:p>
    <w:p w14:paraId="642FDEEE" w14:textId="6559D575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Parker, C. &amp; Karlsson, C. (2010). Climate change and the European Union’s leadership moment: an inconvenient truth? Journal of Common Market Studies, 48(4), 923-942.</w:t>
      </w:r>
    </w:p>
    <w:p w14:paraId="1B884401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0B6F59">
        <w:rPr>
          <w:lang w:val="en-US"/>
        </w:rPr>
        <w:t xml:space="preserve">Persson, T., Azar, C., Johansson, D. &amp; Lindgren, K. (2007). </w:t>
      </w:r>
      <w:r w:rsidRPr="00477986">
        <w:rPr>
          <w:lang w:val="en-GB"/>
        </w:rPr>
        <w:t>Major oil exporters may profit rather than loose, in a carbon constrained world. Energy Policy, 35(12), 6346-6353.</w:t>
      </w:r>
    </w:p>
    <w:p w14:paraId="3E22E9B8" w14:textId="5E2F06C4" w:rsidR="00BD7F66" w:rsidRDefault="00BD7F66" w:rsidP="00BD7F66">
      <w:pPr>
        <w:ind w:left="567" w:hanging="567"/>
        <w:jc w:val="left"/>
        <w:rPr>
          <w:lang w:val="en-GB"/>
        </w:rPr>
      </w:pPr>
      <w:r w:rsidRPr="00BD7F66">
        <w:rPr>
          <w:lang w:val="en-GB"/>
        </w:rPr>
        <w:t xml:space="preserve">Pickering, </w:t>
      </w:r>
      <w:r>
        <w:rPr>
          <w:lang w:val="en-GB"/>
        </w:rPr>
        <w:t xml:space="preserve">J., </w:t>
      </w:r>
      <w:r w:rsidRPr="00BD7F66">
        <w:rPr>
          <w:lang w:val="en-GB"/>
        </w:rPr>
        <w:t>McGee, J</w:t>
      </w:r>
      <w:r>
        <w:rPr>
          <w:lang w:val="en-GB"/>
        </w:rPr>
        <w:t>.,</w:t>
      </w:r>
      <w:r w:rsidRPr="00BD7F66">
        <w:rPr>
          <w:lang w:val="en-GB"/>
        </w:rPr>
        <w:t xml:space="preserve"> Stephens</w:t>
      </w:r>
      <w:r>
        <w:rPr>
          <w:lang w:val="en-GB"/>
        </w:rPr>
        <w:t>, T.</w:t>
      </w:r>
      <w:r w:rsidRPr="00BD7F66">
        <w:rPr>
          <w:lang w:val="en-GB"/>
        </w:rPr>
        <w:t xml:space="preserve"> &amp; Karlsson</w:t>
      </w:r>
      <w:r>
        <w:rPr>
          <w:lang w:val="en-GB"/>
        </w:rPr>
        <w:t xml:space="preserve"> </w:t>
      </w:r>
      <w:proofErr w:type="spellStart"/>
      <w:r w:rsidRPr="00BD7F66">
        <w:rPr>
          <w:lang w:val="en-GB"/>
        </w:rPr>
        <w:t>Vinkhuyzen</w:t>
      </w:r>
      <w:proofErr w:type="spellEnd"/>
      <w:r>
        <w:rPr>
          <w:lang w:val="en-GB"/>
        </w:rPr>
        <w:t xml:space="preserve">, S. </w:t>
      </w:r>
      <w:r w:rsidRPr="00BD7F66">
        <w:rPr>
          <w:lang w:val="en-GB"/>
        </w:rPr>
        <w:t>(2018)</w:t>
      </w:r>
      <w:r>
        <w:rPr>
          <w:lang w:val="en-GB"/>
        </w:rPr>
        <w:t>.</w:t>
      </w:r>
      <w:r w:rsidRPr="00BD7F66">
        <w:rPr>
          <w:lang w:val="en-GB"/>
        </w:rPr>
        <w:t xml:space="preserve"> The impact of the US retreat from the Paris Agreement: Kyoto revisited?</w:t>
      </w:r>
      <w:r>
        <w:rPr>
          <w:lang w:val="en-GB"/>
        </w:rPr>
        <w:t xml:space="preserve"> </w:t>
      </w:r>
      <w:r w:rsidRPr="00BD7F66">
        <w:rPr>
          <w:lang w:val="en-GB"/>
        </w:rPr>
        <w:t>Climate Policy, 18</w:t>
      </w:r>
      <w:r>
        <w:rPr>
          <w:lang w:val="en-GB"/>
        </w:rPr>
        <w:t>(</w:t>
      </w:r>
      <w:r w:rsidRPr="00BD7F66">
        <w:rPr>
          <w:lang w:val="en-GB"/>
        </w:rPr>
        <w:t>7</w:t>
      </w:r>
      <w:r>
        <w:rPr>
          <w:lang w:val="en-GB"/>
        </w:rPr>
        <w:t>)</w:t>
      </w:r>
      <w:r w:rsidRPr="00BD7F66">
        <w:rPr>
          <w:lang w:val="en-GB"/>
        </w:rPr>
        <w:t>, 818-827</w:t>
      </w:r>
      <w:r>
        <w:rPr>
          <w:lang w:val="en-GB"/>
        </w:rPr>
        <w:t>.</w:t>
      </w:r>
    </w:p>
    <w:p w14:paraId="4BC37CD4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lastRenderedPageBreak/>
        <w:t>Roberts, T. (2011). Multipolarity and the new world (dis)order: US hegemonic decline and the fragmentation of the global climate regime. Global Environmental Change, 21(3), 776-784.</w:t>
      </w:r>
    </w:p>
    <w:p w14:paraId="2598ACA8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Schreurs, M. (2016). The Paris Climate Agreement and the Three Largest Emitters: China, the United States, and the European Union. Politics and Governance, 4(3), 219-223.</w:t>
      </w:r>
    </w:p>
    <w:p w14:paraId="6D246220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Selin, H. &amp; </w:t>
      </w:r>
      <w:proofErr w:type="spellStart"/>
      <w:r w:rsidRPr="00477986">
        <w:rPr>
          <w:lang w:val="en-GB"/>
        </w:rPr>
        <w:t>VanDeever</w:t>
      </w:r>
      <w:proofErr w:type="spellEnd"/>
      <w:r w:rsidRPr="00477986">
        <w:rPr>
          <w:lang w:val="en-GB"/>
        </w:rPr>
        <w:t xml:space="preserve">, S. (2007). Political Science and Prediction. What’s next for US Climate Change Policy. Review of Policy Research, 24(1), 1-27. </w:t>
      </w:r>
    </w:p>
    <w:p w14:paraId="27D54F33" w14:textId="0413BCCE" w:rsidR="000B6F59" w:rsidRPr="00943D2C" w:rsidRDefault="000B6F59" w:rsidP="00F95EB5">
      <w:pPr>
        <w:ind w:left="567" w:hanging="567"/>
        <w:jc w:val="left"/>
      </w:pPr>
      <w:r w:rsidRPr="00477986">
        <w:rPr>
          <w:lang w:val="en-GB"/>
        </w:rPr>
        <w:t xml:space="preserve">Stalley, P. (2015). China. In K. Bäckstrand &amp; E. </w:t>
      </w:r>
      <w:proofErr w:type="spellStart"/>
      <w:r w:rsidRPr="00477986">
        <w:rPr>
          <w:lang w:val="en-GB"/>
        </w:rPr>
        <w:t>Lövbrand</w:t>
      </w:r>
      <w:proofErr w:type="spellEnd"/>
      <w:r w:rsidRPr="00477986">
        <w:rPr>
          <w:lang w:val="en-GB"/>
        </w:rPr>
        <w:t xml:space="preserve"> (Eds.), Research Handbook on Climate Governance (pp. 202-212). </w:t>
      </w:r>
      <w:r w:rsidRPr="00943D2C">
        <w:t>Cheltenham: Edward Elgar Press.</w:t>
      </w:r>
    </w:p>
    <w:p w14:paraId="6A32BFD0" w14:textId="431ED823" w:rsidR="00BD7F66" w:rsidRDefault="00BD7F66" w:rsidP="00BD7F66">
      <w:pPr>
        <w:ind w:left="567" w:hanging="567"/>
        <w:jc w:val="left"/>
        <w:rPr>
          <w:lang w:val="en-US"/>
        </w:rPr>
      </w:pPr>
      <w:proofErr w:type="spellStart"/>
      <w:r w:rsidRPr="00F35835">
        <w:t>Urpelainen</w:t>
      </w:r>
      <w:proofErr w:type="spellEnd"/>
      <w:r w:rsidRPr="00F35835">
        <w:t xml:space="preserve">, J. &amp; Van de Graaf, T. (2018). </w:t>
      </w:r>
      <w:r w:rsidRPr="00BD7F66">
        <w:rPr>
          <w:lang w:val="en-US"/>
        </w:rPr>
        <w:t>United States</w:t>
      </w:r>
      <w:r>
        <w:rPr>
          <w:lang w:val="en-US"/>
        </w:rPr>
        <w:t xml:space="preserve"> </w:t>
      </w:r>
      <w:r w:rsidRPr="00BD7F66">
        <w:rPr>
          <w:lang w:val="en-US"/>
        </w:rPr>
        <w:t>non-cooperation and the Paris agreement, Climate Policy, 18</w:t>
      </w:r>
      <w:r>
        <w:rPr>
          <w:lang w:val="en-US"/>
        </w:rPr>
        <w:t>(</w:t>
      </w:r>
      <w:r w:rsidRPr="00BD7F66">
        <w:rPr>
          <w:lang w:val="en-US"/>
        </w:rPr>
        <w:t>7</w:t>
      </w:r>
      <w:r>
        <w:rPr>
          <w:lang w:val="en-US"/>
        </w:rPr>
        <w:t>)</w:t>
      </w:r>
      <w:r w:rsidRPr="00BD7F66">
        <w:rPr>
          <w:lang w:val="en-US"/>
        </w:rPr>
        <w:t>, 839-851</w:t>
      </w:r>
    </w:p>
    <w:p w14:paraId="2EACF938" w14:textId="4728257B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BD7F66">
        <w:t xml:space="preserve">Van </w:t>
      </w:r>
      <w:proofErr w:type="spellStart"/>
      <w:r w:rsidRPr="00BD7F66">
        <w:t>Schaik</w:t>
      </w:r>
      <w:proofErr w:type="spellEnd"/>
      <w:r w:rsidRPr="00BD7F66">
        <w:t xml:space="preserve">, L. &amp; </w:t>
      </w:r>
      <w:proofErr w:type="spellStart"/>
      <w:r w:rsidRPr="00BD7F66">
        <w:t>Schunz</w:t>
      </w:r>
      <w:proofErr w:type="spellEnd"/>
      <w:r w:rsidRPr="00BD7F66">
        <w:t xml:space="preserve">, S. (2012). </w:t>
      </w:r>
      <w:r w:rsidRPr="00477986">
        <w:rPr>
          <w:lang w:val="en-GB"/>
        </w:rPr>
        <w:t>Explaining EU Activism and Impact in Global Climate Politics: Is the EU a Norm- or Interest-Driven Actor? Journal of Common Market Studies, 50(1), 69-86.</w:t>
      </w:r>
    </w:p>
    <w:p w14:paraId="3792FB8B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Vogler, J. (2005). The European Contribution to Global Environmental Change. International Affairs, 81(4), 835-850. </w:t>
      </w:r>
    </w:p>
    <w:p w14:paraId="260B059C" w14:textId="77777777" w:rsidR="006E5BDE" w:rsidRPr="00477986" w:rsidRDefault="006E5BDE" w:rsidP="006E5BDE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Vogler, J. &amp; Bretherton, C. (2006). The European Union as a Protagonist to the United States on Climate Change. International Studies Perspectives, 7(1), 1-22.</w:t>
      </w:r>
    </w:p>
    <w:p w14:paraId="6FCF2AD6" w14:textId="274095CF" w:rsidR="00CF6CEC" w:rsidRDefault="00CF6CEC" w:rsidP="00CF6CEC">
      <w:pPr>
        <w:ind w:left="567" w:hanging="567"/>
        <w:jc w:val="left"/>
        <w:rPr>
          <w:lang w:val="en-GB"/>
        </w:rPr>
      </w:pPr>
      <w:proofErr w:type="spellStart"/>
      <w:r>
        <w:rPr>
          <w:lang w:val="en-GB"/>
        </w:rPr>
        <w:t>Vormedal</w:t>
      </w:r>
      <w:proofErr w:type="spellEnd"/>
      <w:r>
        <w:rPr>
          <w:lang w:val="en-GB"/>
        </w:rPr>
        <w:t xml:space="preserve">, I. 2008. </w:t>
      </w:r>
      <w:r w:rsidRPr="00CF6CEC">
        <w:rPr>
          <w:lang w:val="en-GB"/>
        </w:rPr>
        <w:t>The In</w:t>
      </w:r>
      <w:r>
        <w:rPr>
          <w:lang w:val="en-GB"/>
        </w:rPr>
        <w:t>fl</w:t>
      </w:r>
      <w:r w:rsidRPr="00CF6CEC">
        <w:rPr>
          <w:lang w:val="en-GB"/>
        </w:rPr>
        <w:t>uence of Business and Industry</w:t>
      </w:r>
      <w:r>
        <w:rPr>
          <w:lang w:val="en-GB"/>
        </w:rPr>
        <w:t xml:space="preserve"> </w:t>
      </w:r>
      <w:r w:rsidRPr="00CF6CEC">
        <w:rPr>
          <w:lang w:val="en-GB"/>
        </w:rPr>
        <w:t>NGOs in the Negotiation of the Kyoto</w:t>
      </w:r>
      <w:r>
        <w:rPr>
          <w:lang w:val="en-GB"/>
        </w:rPr>
        <w:t xml:space="preserve"> </w:t>
      </w:r>
      <w:r w:rsidRPr="00CF6CEC">
        <w:rPr>
          <w:lang w:val="en-GB"/>
        </w:rPr>
        <w:t xml:space="preserve">Mechanisms: </w:t>
      </w:r>
      <w:proofErr w:type="gramStart"/>
      <w:r w:rsidRPr="00CF6CEC">
        <w:rPr>
          <w:lang w:val="en-GB"/>
        </w:rPr>
        <w:t>the</w:t>
      </w:r>
      <w:proofErr w:type="gramEnd"/>
      <w:r w:rsidRPr="00CF6CEC">
        <w:rPr>
          <w:lang w:val="en-GB"/>
        </w:rPr>
        <w:t xml:space="preserve"> Case of Carbon Capture</w:t>
      </w:r>
      <w:r>
        <w:rPr>
          <w:lang w:val="en-GB"/>
        </w:rPr>
        <w:t xml:space="preserve"> </w:t>
      </w:r>
      <w:r w:rsidRPr="00CF6CEC">
        <w:rPr>
          <w:lang w:val="en-GB"/>
        </w:rPr>
        <w:t>and Storage in the CDM</w:t>
      </w:r>
      <w:r w:rsidR="00201F21">
        <w:rPr>
          <w:lang w:val="en-GB"/>
        </w:rPr>
        <w:t xml:space="preserve">. </w:t>
      </w:r>
      <w:r w:rsidR="00201F21" w:rsidRPr="00201F21">
        <w:rPr>
          <w:lang w:val="en-GB"/>
        </w:rPr>
        <w:t>Global Environmental Politics 8</w:t>
      </w:r>
      <w:r w:rsidR="00201F21">
        <w:rPr>
          <w:lang w:val="en-GB"/>
        </w:rPr>
        <w:t>(</w:t>
      </w:r>
      <w:r w:rsidR="00201F21" w:rsidRPr="00201F21">
        <w:rPr>
          <w:lang w:val="en-GB"/>
        </w:rPr>
        <w:t>4</w:t>
      </w:r>
      <w:r w:rsidR="00201F21">
        <w:rPr>
          <w:lang w:val="en-GB"/>
        </w:rPr>
        <w:t>)</w:t>
      </w:r>
      <w:r w:rsidR="00201F21" w:rsidRPr="00201F21">
        <w:rPr>
          <w:lang w:val="en-GB"/>
        </w:rPr>
        <w:t xml:space="preserve">, </w:t>
      </w:r>
      <w:r w:rsidR="00201F21">
        <w:rPr>
          <w:lang w:val="en-GB"/>
        </w:rPr>
        <w:t>36-65.</w:t>
      </w:r>
    </w:p>
    <w:p w14:paraId="5F75CE35" w14:textId="79EC0D82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Wong, P. P. (2011). Small island developing states. Wiley Interdisciplinary Reviews Climate Change, 2(1), 1-6.</w:t>
      </w:r>
    </w:p>
    <w:p w14:paraId="4574B52C" w14:textId="77777777" w:rsidR="000B6F59" w:rsidRPr="000B6F59" w:rsidRDefault="000B6F59" w:rsidP="000B6F59">
      <w:pPr>
        <w:pStyle w:val="Rubrik3"/>
        <w:rPr>
          <w:lang w:val="en-US"/>
        </w:rPr>
      </w:pPr>
      <w:bookmarkStart w:id="18" w:name="_Toc49948870"/>
      <w:bookmarkStart w:id="19" w:name="_Toc49949236"/>
      <w:r w:rsidRPr="000B6F59">
        <w:rPr>
          <w:lang w:val="en-US"/>
        </w:rPr>
        <w:t xml:space="preserve">Useful </w:t>
      </w:r>
      <w:r w:rsidR="004908B0">
        <w:rPr>
          <w:lang w:val="en-US"/>
        </w:rPr>
        <w:t>Internet resources</w:t>
      </w:r>
      <w:bookmarkEnd w:id="18"/>
      <w:bookmarkEnd w:id="19"/>
    </w:p>
    <w:p w14:paraId="295744BC" w14:textId="77777777" w:rsidR="000B6F59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The UNFCCC: </w:t>
      </w:r>
      <w:hyperlink r:id="rId12" w:history="1">
        <w:r w:rsidRPr="00D71823">
          <w:rPr>
            <w:rStyle w:val="Hyperlnk"/>
            <w:lang w:val="en-GB"/>
          </w:rPr>
          <w:t>www.unfccc.int</w:t>
        </w:r>
      </w:hyperlink>
    </w:p>
    <w:p w14:paraId="13F49B6B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The NDC Interim Registry: </w:t>
      </w:r>
      <w:hyperlink r:id="rId13" w:history="1">
        <w:r w:rsidRPr="00D71823">
          <w:rPr>
            <w:rStyle w:val="Hyperlnk"/>
            <w:lang w:val="en-GB"/>
          </w:rPr>
          <w:t>www4.unfccc.int/ndcregistry</w:t>
        </w:r>
      </w:hyperlink>
    </w:p>
    <w:p w14:paraId="29FB1769" w14:textId="77777777" w:rsidR="000B6F59" w:rsidRDefault="000B6F59" w:rsidP="00F95EB5">
      <w:pPr>
        <w:pStyle w:val="NormalIndented"/>
        <w:ind w:firstLine="0"/>
        <w:jc w:val="left"/>
        <w:rPr>
          <w:lang w:val="en-GB"/>
        </w:rPr>
      </w:pPr>
      <w:r>
        <w:rPr>
          <w:lang w:val="en-GB"/>
        </w:rPr>
        <w:t xml:space="preserve">The IPCC: </w:t>
      </w:r>
      <w:hyperlink r:id="rId14" w:history="1">
        <w:r w:rsidRPr="00256AAB">
          <w:rPr>
            <w:rStyle w:val="Hyperlnk"/>
            <w:lang w:val="en-GB"/>
          </w:rPr>
          <w:t>www.ipcc.ch</w:t>
        </w:r>
      </w:hyperlink>
    </w:p>
    <w:p w14:paraId="20BDF22F" w14:textId="77777777" w:rsidR="000B6F59" w:rsidRPr="00256AAB" w:rsidRDefault="000B6F59" w:rsidP="00F95EB5">
      <w:pPr>
        <w:pStyle w:val="NormalIndented"/>
        <w:ind w:firstLine="0"/>
        <w:jc w:val="left"/>
        <w:rPr>
          <w:lang w:val="en-GB"/>
        </w:rPr>
      </w:pPr>
      <w:r>
        <w:rPr>
          <w:lang w:val="en-GB"/>
        </w:rPr>
        <w:t xml:space="preserve">The WMO: </w:t>
      </w:r>
      <w:hyperlink r:id="rId15" w:history="1">
        <w:r w:rsidRPr="00256AAB">
          <w:rPr>
            <w:rStyle w:val="Hyperlnk"/>
            <w:lang w:val="en-GB"/>
          </w:rPr>
          <w:t>https://public.wmo.int/en</w:t>
        </w:r>
      </w:hyperlink>
    </w:p>
    <w:p w14:paraId="3200C327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The Earth Negotiations Bulletin: </w:t>
      </w:r>
      <w:hyperlink r:id="rId16" w:history="1">
        <w:r w:rsidRPr="00D71823">
          <w:rPr>
            <w:rStyle w:val="Hyperlnk"/>
            <w:lang w:val="en-GB"/>
          </w:rPr>
          <w:t>www.iisd.ca/process/climate_atm.htm</w:t>
        </w:r>
      </w:hyperlink>
    </w:p>
    <w:p w14:paraId="624B6CFB" w14:textId="77777777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>CAN International’s ECO newsletters:</w:t>
      </w:r>
      <w:r>
        <w:rPr>
          <w:lang w:val="en-GB"/>
        </w:rPr>
        <w:t xml:space="preserve"> </w:t>
      </w:r>
      <w:hyperlink r:id="rId17" w:history="1">
        <w:r w:rsidRPr="003D0200">
          <w:rPr>
            <w:rStyle w:val="Hyperlnk"/>
            <w:lang w:val="en-GB"/>
          </w:rPr>
          <w:t>www.climatenetwork.org/eco-newsletters</w:t>
        </w:r>
      </w:hyperlink>
    </w:p>
    <w:p w14:paraId="02A0D3C5" w14:textId="78C6638F" w:rsidR="000B6F59" w:rsidRPr="00477986" w:rsidRDefault="000B6F59" w:rsidP="00F95EB5">
      <w:pPr>
        <w:ind w:left="567" w:hanging="567"/>
        <w:jc w:val="left"/>
        <w:rPr>
          <w:lang w:val="en-GB"/>
        </w:rPr>
      </w:pPr>
      <w:r w:rsidRPr="00477986">
        <w:rPr>
          <w:lang w:val="en-GB"/>
        </w:rPr>
        <w:t xml:space="preserve">The Climate Action Tracker: </w:t>
      </w:r>
      <w:hyperlink r:id="rId18" w:history="1">
        <w:r w:rsidRPr="00D71823">
          <w:rPr>
            <w:rStyle w:val="Hyperlnk"/>
            <w:lang w:val="en-GB"/>
          </w:rPr>
          <w:t>http://climateactiontracker.org</w:t>
        </w:r>
      </w:hyperlink>
    </w:p>
    <w:p w14:paraId="6EE8E655" w14:textId="77777777" w:rsidR="000B6F59" w:rsidRDefault="000B6F59" w:rsidP="00F95EB5">
      <w:pPr>
        <w:ind w:left="567" w:hanging="567"/>
        <w:jc w:val="left"/>
        <w:rPr>
          <w:lang w:val="en-GB"/>
        </w:rPr>
      </w:pPr>
      <w:r>
        <w:rPr>
          <w:lang w:val="en-GB"/>
        </w:rPr>
        <w:t xml:space="preserve">The Climate Watch (climate data): </w:t>
      </w:r>
      <w:hyperlink r:id="rId19" w:history="1">
        <w:r w:rsidRPr="00AF035D">
          <w:rPr>
            <w:rStyle w:val="Hyperlnk"/>
            <w:lang w:val="en-GB"/>
          </w:rPr>
          <w:t>www.climatewatchdata.org</w:t>
        </w:r>
      </w:hyperlink>
    </w:p>
    <w:p w14:paraId="66646A67" w14:textId="7DB5AC6D" w:rsidR="000B6F59" w:rsidRPr="000B6F59" w:rsidRDefault="000B6F59" w:rsidP="000D4BAF">
      <w:pPr>
        <w:ind w:left="567" w:hanging="567"/>
        <w:jc w:val="left"/>
        <w:rPr>
          <w:lang w:val="en-US"/>
        </w:rPr>
      </w:pPr>
      <w:r w:rsidRPr="00477986">
        <w:rPr>
          <w:lang w:val="en-GB"/>
        </w:rPr>
        <w:t>The Climate Data Explorer</w:t>
      </w:r>
      <w:r>
        <w:rPr>
          <w:lang w:val="en-GB"/>
        </w:rPr>
        <w:t xml:space="preserve"> (climate data)</w:t>
      </w:r>
      <w:r w:rsidRPr="00477986">
        <w:rPr>
          <w:lang w:val="en-GB"/>
        </w:rPr>
        <w:t xml:space="preserve">: </w:t>
      </w:r>
      <w:hyperlink r:id="rId20" w:history="1">
        <w:r w:rsidRPr="00D71823">
          <w:rPr>
            <w:rStyle w:val="Hyperlnk"/>
            <w:lang w:val="en-GB"/>
          </w:rPr>
          <w:t>http://cait.wri.org</w:t>
        </w:r>
      </w:hyperlink>
    </w:p>
    <w:sectPr w:rsidR="000B6F59" w:rsidRPr="000B6F59" w:rsidSect="00D05C0F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C684" w14:textId="77777777" w:rsidR="00DC3093" w:rsidRDefault="00DC3093" w:rsidP="003544CD">
      <w:r>
        <w:separator/>
      </w:r>
    </w:p>
    <w:p w14:paraId="0A6F8F32" w14:textId="77777777" w:rsidR="00DC3093" w:rsidRDefault="00DC3093" w:rsidP="003544CD"/>
    <w:p w14:paraId="74D53173" w14:textId="77777777" w:rsidR="00DC3093" w:rsidRDefault="00DC3093" w:rsidP="003544CD"/>
  </w:endnote>
  <w:endnote w:type="continuationSeparator" w:id="0">
    <w:p w14:paraId="20A02105" w14:textId="77777777" w:rsidR="00DC3093" w:rsidRDefault="00DC3093" w:rsidP="003544CD">
      <w:r>
        <w:continuationSeparator/>
      </w:r>
    </w:p>
    <w:p w14:paraId="3A1F8559" w14:textId="77777777" w:rsidR="00DC3093" w:rsidRDefault="00DC3093" w:rsidP="003544CD"/>
    <w:p w14:paraId="664B7A93" w14:textId="77777777" w:rsidR="00DC3093" w:rsidRDefault="00DC3093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CF07" w14:textId="77777777" w:rsidR="00F46762" w:rsidRDefault="00F46762" w:rsidP="003544CD">
    <w:pPr>
      <w:pStyle w:val="Sidfot"/>
    </w:pPr>
  </w:p>
  <w:p w14:paraId="4DB1F8CA" w14:textId="77777777" w:rsidR="00F46762" w:rsidRDefault="00F46762" w:rsidP="003544CD">
    <w:pPr>
      <w:pStyle w:val="Sidfot"/>
    </w:pPr>
  </w:p>
  <w:p w14:paraId="3FA22E88" w14:textId="77777777" w:rsidR="00F46762" w:rsidRDefault="00F46762" w:rsidP="003544CD">
    <w:pPr>
      <w:pStyle w:val="Sidfo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0DACC13" wp14:editId="44D3EF56">
          <wp:simplePos x="0" y="0"/>
          <wp:positionH relativeFrom="column">
            <wp:posOffset>-914400</wp:posOffset>
          </wp:positionH>
          <wp:positionV relativeFrom="page">
            <wp:posOffset>9645650</wp:posOffset>
          </wp:positionV>
          <wp:extent cx="799200" cy="558000"/>
          <wp:effectExtent l="0" t="0" r="0" b="1270"/>
          <wp:wrapThrough wrapText="bothSides">
            <wp:wrapPolygon edited="0">
              <wp:start x="0" y="0"/>
              <wp:lineTo x="0" y="20665"/>
              <wp:lineTo x="20604" y="20665"/>
              <wp:lineTo x="20604" y="3936"/>
              <wp:lineTo x="4808" y="0"/>
              <wp:lineTo x="0" y="0"/>
            </wp:wrapPolygon>
          </wp:wrapThrough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under_liten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DFE661" w14:textId="77777777" w:rsidR="00F46762" w:rsidRDefault="00F46762" w:rsidP="003544CD">
    <w:pPr>
      <w:pStyle w:val="Sidfot"/>
    </w:pPr>
  </w:p>
  <w:p w14:paraId="6796024F" w14:textId="77777777" w:rsidR="00F46762" w:rsidRPr="00CF70F5" w:rsidRDefault="00F46762" w:rsidP="003544CD">
    <w:pPr>
      <w:pStyle w:val="Sidfot"/>
    </w:pPr>
  </w:p>
  <w:p w14:paraId="00E38032" w14:textId="77777777" w:rsidR="00F46762" w:rsidRDefault="00F46762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F46762" w14:paraId="654BBB69" w14:textId="77777777" w:rsidTr="0074079C">
      <w:trPr>
        <w:trHeight w:val="397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2F9D4A95" w14:textId="77777777" w:rsidR="00F46762" w:rsidRPr="00B21772" w:rsidRDefault="00F46762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4042FF5F" w14:textId="77777777" w:rsidR="00F46762" w:rsidRPr="00B21772" w:rsidRDefault="00F46762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F46762" w:rsidRPr="00943D2C" w14:paraId="0AE721ED" w14:textId="77777777" w:rsidTr="0074079C">
      <w:trPr>
        <w:trHeight w:hRule="exact" w:val="680"/>
      </w:trPr>
      <w:tc>
        <w:tcPr>
          <w:tcW w:w="6804" w:type="dxa"/>
          <w:tcBorders>
            <w:top w:val="single" w:sz="4" w:space="0" w:color="auto"/>
          </w:tcBorders>
        </w:tcPr>
        <w:p w14:paraId="25618FDA" w14:textId="77777777" w:rsidR="00F46762" w:rsidRPr="00B0228E" w:rsidRDefault="00F46762" w:rsidP="0074079C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  <w:lang w:val="en-US"/>
            </w:rPr>
          </w:pPr>
          <w:r w:rsidRPr="00B0228E">
            <w:rPr>
              <w:rFonts w:cs="Calibri-Bold"/>
              <w:b/>
              <w:bCs/>
              <w:caps/>
              <w:szCs w:val="18"/>
              <w:lang w:val="en-US"/>
            </w:rPr>
            <w:t>Linköping UniversitY</w:t>
          </w:r>
        </w:p>
        <w:p w14:paraId="2AD85678" w14:textId="77777777" w:rsidR="00F46762" w:rsidRPr="00B0228E" w:rsidRDefault="00F46762" w:rsidP="0074079C">
          <w:pPr>
            <w:pStyle w:val="Sidfot"/>
            <w:tabs>
              <w:tab w:val="left" w:pos="2260"/>
            </w:tabs>
            <w:rPr>
              <w:rFonts w:cs="Calibri"/>
              <w:caps/>
              <w:lang w:val="en-US"/>
            </w:rPr>
          </w:pPr>
          <w:r>
            <w:rPr>
              <w:rFonts w:cs="Calibri"/>
              <w:caps/>
            </w:rPr>
            <w:fldChar w:fldCharType="begin"/>
          </w:r>
          <w:r w:rsidRPr="00B0228E">
            <w:rPr>
              <w:rFonts w:cs="Calibri"/>
              <w:caps/>
              <w:lang w:val="en-US"/>
            </w:rPr>
            <w:instrText xml:space="preserve"> MACROBUTTON  AcceptAllConflictsInDoc DEPARTMENT </w:instrText>
          </w:r>
          <w:r>
            <w:rPr>
              <w:rFonts w:cs="Calibri"/>
              <w:caps/>
            </w:rPr>
            <w:fldChar w:fldCharType="end"/>
          </w:r>
          <w:r w:rsidRPr="00B0228E">
            <w:rPr>
              <w:rFonts w:cs="Calibri"/>
              <w:caps/>
              <w:lang w:val="en-US"/>
            </w:rPr>
            <w:t>of thematic studies</w:t>
          </w:r>
          <w:r>
            <w:rPr>
              <w:rFonts w:cs="Calibri"/>
              <w:caps/>
              <w:lang w:val="en-US"/>
            </w:rPr>
            <w:br/>
            <w:t>Unit of environmental change</w:t>
          </w:r>
        </w:p>
      </w:tc>
      <w:tc>
        <w:tcPr>
          <w:tcW w:w="2127" w:type="dxa"/>
          <w:tcBorders>
            <w:top w:val="single" w:sz="4" w:space="0" w:color="auto"/>
          </w:tcBorders>
        </w:tcPr>
        <w:p w14:paraId="4879FCE1" w14:textId="77777777" w:rsidR="00F46762" w:rsidRPr="00B0228E" w:rsidRDefault="00F46762" w:rsidP="00114C55">
          <w:pPr>
            <w:pStyle w:val="Sidfot"/>
            <w:rPr>
              <w:lang w:val="en-US"/>
            </w:rPr>
          </w:pPr>
        </w:p>
      </w:tc>
    </w:tr>
  </w:tbl>
  <w:p w14:paraId="600D40EF" w14:textId="77777777" w:rsidR="00F46762" w:rsidRPr="00B0228E" w:rsidRDefault="00F46762" w:rsidP="003544C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AF99" w14:textId="77777777" w:rsidR="00DC3093" w:rsidRDefault="00DC3093" w:rsidP="003544CD">
      <w:r>
        <w:separator/>
      </w:r>
    </w:p>
    <w:p w14:paraId="5E3856AC" w14:textId="77777777" w:rsidR="00DC3093" w:rsidRDefault="00DC3093" w:rsidP="003544CD"/>
    <w:p w14:paraId="3261F960" w14:textId="77777777" w:rsidR="00DC3093" w:rsidRDefault="00DC3093" w:rsidP="003544CD"/>
  </w:footnote>
  <w:footnote w:type="continuationSeparator" w:id="0">
    <w:p w14:paraId="2607B593" w14:textId="77777777" w:rsidR="00DC3093" w:rsidRDefault="00DC3093" w:rsidP="003544CD">
      <w:r>
        <w:continuationSeparator/>
      </w:r>
    </w:p>
    <w:p w14:paraId="10CD8493" w14:textId="77777777" w:rsidR="00DC3093" w:rsidRDefault="00DC3093" w:rsidP="003544CD"/>
    <w:p w14:paraId="3763A969" w14:textId="77777777" w:rsidR="00DC3093" w:rsidRDefault="00DC3093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F46762" w14:paraId="25A6C7D8" w14:textId="77777777" w:rsidTr="00070DDF">
      <w:tc>
        <w:tcPr>
          <w:tcW w:w="5846" w:type="dxa"/>
        </w:tcPr>
        <w:p w14:paraId="5A4E3B09" w14:textId="77777777" w:rsidR="00F46762" w:rsidRPr="00B0228E" w:rsidRDefault="00F46762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  <w:lang w:val="en-US"/>
            </w:rPr>
          </w:pPr>
          <w:r w:rsidRPr="00B0228E">
            <w:rPr>
              <w:rFonts w:cs="Calibri-Bold"/>
              <w:b/>
              <w:bCs/>
              <w:caps/>
              <w:szCs w:val="18"/>
              <w:lang w:val="en-US"/>
            </w:rPr>
            <w:t>Linköping UniversitY</w:t>
          </w:r>
        </w:p>
        <w:p w14:paraId="063BBA64" w14:textId="77777777" w:rsidR="00F46762" w:rsidRPr="00B0228E" w:rsidRDefault="00F46762" w:rsidP="00A2646A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  <w:lang w:val="en-US"/>
            </w:rPr>
          </w:pPr>
          <w:r>
            <w:rPr>
              <w:rFonts w:cs="Calibri"/>
              <w:caps/>
            </w:rPr>
            <w:fldChar w:fldCharType="begin"/>
          </w:r>
          <w:r w:rsidRPr="00B0228E">
            <w:rPr>
              <w:rFonts w:cs="Calibri"/>
              <w:caps/>
              <w:lang w:val="en-US"/>
            </w:rPr>
            <w:instrText xml:space="preserve"> MACROBUTTON  AcceptAllConflictsInDoc DEPARTMENT </w:instrText>
          </w:r>
          <w:r>
            <w:rPr>
              <w:rFonts w:cs="Calibri"/>
              <w:caps/>
            </w:rPr>
            <w:fldChar w:fldCharType="end"/>
          </w:r>
          <w:r w:rsidRPr="00B0228E">
            <w:rPr>
              <w:rFonts w:cs="Calibri"/>
              <w:caps/>
              <w:lang w:val="en-US"/>
            </w:rPr>
            <w:t>of thematic studies</w:t>
          </w:r>
          <w:r>
            <w:rPr>
              <w:rFonts w:cs="Calibri"/>
              <w:caps/>
              <w:lang w:val="en-US"/>
            </w:rPr>
            <w:br/>
            <w:t>Unit of environmental change</w:t>
          </w:r>
        </w:p>
      </w:tc>
      <w:tc>
        <w:tcPr>
          <w:tcW w:w="3164" w:type="dxa"/>
        </w:tcPr>
        <w:p w14:paraId="3C6A33F1" w14:textId="7FEA4A9B" w:rsidR="00F46762" w:rsidRPr="004E17DA" w:rsidRDefault="00F23627" w:rsidP="00B0228E">
          <w:pPr>
            <w:pStyle w:val="Sidhuvud"/>
            <w:tabs>
              <w:tab w:val="clear" w:pos="8930"/>
              <w:tab w:val="left" w:pos="6190"/>
            </w:tabs>
            <w:ind w:left="-531" w:right="-108"/>
            <w:jc w:val="right"/>
            <w:rPr>
              <w:lang w:val="en-US"/>
            </w:rPr>
          </w:pPr>
          <w:r>
            <w:rPr>
              <w:rFonts w:cs="Calibri"/>
              <w:szCs w:val="18"/>
              <w:lang w:val="en-GB"/>
            </w:rPr>
            <w:t>Literature list</w:t>
          </w:r>
          <w:r w:rsidR="00F46762">
            <w:rPr>
              <w:rFonts w:cs="Calibri"/>
              <w:szCs w:val="18"/>
              <w:lang w:val="en-GB"/>
            </w:rPr>
            <w:br/>
            <w:t>International Environmental Management</w:t>
          </w:r>
          <w:r w:rsidR="00F46762">
            <w:rPr>
              <w:rFonts w:cs="Calibri"/>
              <w:szCs w:val="18"/>
              <w:lang w:val="en-GB"/>
            </w:rPr>
            <w:br/>
          </w:r>
        </w:p>
        <w:p w14:paraId="5157856F" w14:textId="77777777" w:rsidR="00F46762" w:rsidRDefault="00F46762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fldSimple w:instr=" NUMPAGES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</w:tbl>
  <w:p w14:paraId="0A4D7F1E" w14:textId="77777777" w:rsidR="00F46762" w:rsidRDefault="00F46762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F46762" w:rsidRPr="00B0228E" w14:paraId="5D682D26" w14:textId="77777777" w:rsidTr="00DF40EF">
      <w:tc>
        <w:tcPr>
          <w:tcW w:w="9039" w:type="dxa"/>
        </w:tcPr>
        <w:p w14:paraId="1A7E9FA1" w14:textId="34BC5674" w:rsidR="00F46762" w:rsidRPr="00B0228E" w:rsidRDefault="000D4BAF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  <w:lang w:val="en-GB"/>
            </w:rPr>
          </w:pPr>
          <w:r>
            <w:rPr>
              <w:rFonts w:cs="Calibri"/>
              <w:szCs w:val="18"/>
              <w:lang w:val="en-GB"/>
            </w:rPr>
            <w:t>Literature list</w:t>
          </w:r>
          <w:r w:rsidR="00F46762">
            <w:rPr>
              <w:rFonts w:cs="Calibri"/>
              <w:szCs w:val="18"/>
              <w:lang w:val="en-GB"/>
            </w:rPr>
            <w:br/>
            <w:t>International Environmental Management</w:t>
          </w:r>
          <w:r w:rsidR="00F46762">
            <w:rPr>
              <w:rFonts w:cs="Calibri"/>
              <w:szCs w:val="18"/>
              <w:lang w:val="en-GB"/>
            </w:rPr>
            <w:br/>
          </w:r>
          <w:r w:rsidR="00F46762" w:rsidRPr="00B0228E">
            <w:rPr>
              <w:noProof/>
              <w:lang w:val="en-GB"/>
            </w:rPr>
            <w:drawing>
              <wp:anchor distT="0" distB="0" distL="114300" distR="114300" simplePos="0" relativeHeight="251668480" behindDoc="0" locked="0" layoutInCell="1" allowOverlap="1" wp14:anchorId="11918871" wp14:editId="172C147F">
                <wp:simplePos x="0" y="0"/>
                <wp:positionH relativeFrom="column">
                  <wp:posOffset>-981180</wp:posOffset>
                </wp:positionH>
                <wp:positionV relativeFrom="page">
                  <wp:posOffset>-121184</wp:posOffset>
                </wp:positionV>
                <wp:extent cx="1908000" cy="50040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U_primary_black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89" t="18843" r="6346" b="17583"/>
                        <a:stretch/>
                      </pic:blipFill>
                      <pic:spPr bwMode="auto">
                        <a:xfrm>
                          <a:off x="0" y="0"/>
                          <a:ext cx="1908000" cy="50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6BEB666" w14:textId="77777777" w:rsidR="00F46762" w:rsidRPr="00B0228E" w:rsidRDefault="00F46762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lang w:val="en-GB"/>
            </w:rPr>
          </w:pPr>
          <w:r w:rsidRPr="00B0228E">
            <w:rPr>
              <w:lang w:val="en-GB"/>
            </w:rPr>
            <w:fldChar w:fldCharType="begin"/>
          </w:r>
          <w:r w:rsidRPr="00B0228E">
            <w:rPr>
              <w:lang w:val="en-GB"/>
            </w:rPr>
            <w:instrText xml:space="preserve"> PAGE  \* MERGEFORMAT </w:instrText>
          </w:r>
          <w:r w:rsidRPr="00B0228E">
            <w:rPr>
              <w:lang w:val="en-GB"/>
            </w:rPr>
            <w:fldChar w:fldCharType="separate"/>
          </w:r>
          <w:r w:rsidRPr="00B0228E">
            <w:rPr>
              <w:noProof/>
              <w:lang w:val="en-GB"/>
            </w:rPr>
            <w:t>1</w:t>
          </w:r>
          <w:r w:rsidRPr="00B0228E">
            <w:rPr>
              <w:lang w:val="en-GB"/>
            </w:rPr>
            <w:fldChar w:fldCharType="end"/>
          </w:r>
          <w:r w:rsidRPr="00B0228E">
            <w:rPr>
              <w:lang w:val="en-GB"/>
            </w:rPr>
            <w:t>(</w:t>
          </w:r>
          <w:r w:rsidRPr="00B0228E">
            <w:rPr>
              <w:lang w:val="en-GB"/>
            </w:rPr>
            <w:fldChar w:fldCharType="begin"/>
          </w:r>
          <w:r w:rsidRPr="00B0228E">
            <w:rPr>
              <w:lang w:val="en-GB"/>
            </w:rPr>
            <w:instrText xml:space="preserve"> NUMPAGES  \* MERGEFORMAT </w:instrText>
          </w:r>
          <w:r w:rsidRPr="00B0228E">
            <w:rPr>
              <w:lang w:val="en-GB"/>
            </w:rPr>
            <w:fldChar w:fldCharType="separate"/>
          </w:r>
          <w:r w:rsidRPr="00B0228E">
            <w:rPr>
              <w:noProof/>
              <w:lang w:val="en-GB"/>
            </w:rPr>
            <w:t>2</w:t>
          </w:r>
          <w:r w:rsidRPr="00B0228E">
            <w:rPr>
              <w:noProof/>
              <w:lang w:val="en-GB"/>
            </w:rPr>
            <w:fldChar w:fldCharType="end"/>
          </w:r>
          <w:r w:rsidRPr="00B0228E">
            <w:rPr>
              <w:lang w:val="en-GB"/>
            </w:rPr>
            <w:t>)</w:t>
          </w:r>
        </w:p>
      </w:tc>
    </w:tr>
  </w:tbl>
  <w:p w14:paraId="0098F4F2" w14:textId="77777777" w:rsidR="00F46762" w:rsidRPr="00B0228E" w:rsidRDefault="00F46762" w:rsidP="00DF40EF">
    <w:pPr>
      <w:pStyle w:val="Sidhuvud"/>
      <w:tabs>
        <w:tab w:val="left" w:pos="4850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56926"/>
    <w:multiLevelType w:val="hybridMultilevel"/>
    <w:tmpl w:val="C70A648C"/>
    <w:lvl w:ilvl="0" w:tplc="E1A4139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2B18"/>
    <w:multiLevelType w:val="hybridMultilevel"/>
    <w:tmpl w:val="C4C44FFA"/>
    <w:lvl w:ilvl="0" w:tplc="E1A41396">
      <w:start w:val="1"/>
      <w:numFmt w:val="decimal"/>
      <w:lvlText w:val="%1."/>
      <w:lvlJc w:val="left"/>
      <w:pPr>
        <w:ind w:left="1004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2B15B2"/>
    <w:multiLevelType w:val="hybridMultilevel"/>
    <w:tmpl w:val="653E8EE0"/>
    <w:lvl w:ilvl="0" w:tplc="A3F694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9E6B06"/>
    <w:multiLevelType w:val="hybridMultilevel"/>
    <w:tmpl w:val="272E823E"/>
    <w:lvl w:ilvl="0" w:tplc="E1A41396">
      <w:start w:val="1"/>
      <w:numFmt w:val="decimal"/>
      <w:lvlText w:val="%1."/>
      <w:lvlJc w:val="left"/>
      <w:pPr>
        <w:ind w:left="1004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1D5E18"/>
    <w:multiLevelType w:val="multilevel"/>
    <w:tmpl w:val="E0EC3F8C"/>
    <w:numStyleLink w:val="Bulletedlist"/>
  </w:abstractNum>
  <w:abstractNum w:abstractNumId="6" w15:restartNumberingAfterBreak="0">
    <w:nsid w:val="0DF35B0A"/>
    <w:multiLevelType w:val="hybridMultilevel"/>
    <w:tmpl w:val="BDB8B75A"/>
    <w:lvl w:ilvl="0" w:tplc="E1A4139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63E7D"/>
    <w:multiLevelType w:val="hybridMultilevel"/>
    <w:tmpl w:val="11D456E8"/>
    <w:lvl w:ilvl="0" w:tplc="E1A41396">
      <w:start w:val="1"/>
      <w:numFmt w:val="decimal"/>
      <w:lvlText w:val="%1."/>
      <w:lvlJc w:val="left"/>
      <w:pPr>
        <w:ind w:left="778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498" w:hanging="360"/>
      </w:pPr>
    </w:lvl>
    <w:lvl w:ilvl="2" w:tplc="041D001B" w:tentative="1">
      <w:start w:val="1"/>
      <w:numFmt w:val="lowerRoman"/>
      <w:lvlText w:val="%3."/>
      <w:lvlJc w:val="right"/>
      <w:pPr>
        <w:ind w:left="2218" w:hanging="180"/>
      </w:pPr>
    </w:lvl>
    <w:lvl w:ilvl="3" w:tplc="041D000F" w:tentative="1">
      <w:start w:val="1"/>
      <w:numFmt w:val="decimal"/>
      <w:lvlText w:val="%4."/>
      <w:lvlJc w:val="left"/>
      <w:pPr>
        <w:ind w:left="2938" w:hanging="360"/>
      </w:pPr>
    </w:lvl>
    <w:lvl w:ilvl="4" w:tplc="041D0019" w:tentative="1">
      <w:start w:val="1"/>
      <w:numFmt w:val="lowerLetter"/>
      <w:lvlText w:val="%5."/>
      <w:lvlJc w:val="left"/>
      <w:pPr>
        <w:ind w:left="3658" w:hanging="360"/>
      </w:pPr>
    </w:lvl>
    <w:lvl w:ilvl="5" w:tplc="041D001B" w:tentative="1">
      <w:start w:val="1"/>
      <w:numFmt w:val="lowerRoman"/>
      <w:lvlText w:val="%6."/>
      <w:lvlJc w:val="right"/>
      <w:pPr>
        <w:ind w:left="4378" w:hanging="180"/>
      </w:pPr>
    </w:lvl>
    <w:lvl w:ilvl="6" w:tplc="041D000F" w:tentative="1">
      <w:start w:val="1"/>
      <w:numFmt w:val="decimal"/>
      <w:lvlText w:val="%7."/>
      <w:lvlJc w:val="left"/>
      <w:pPr>
        <w:ind w:left="5098" w:hanging="360"/>
      </w:pPr>
    </w:lvl>
    <w:lvl w:ilvl="7" w:tplc="041D0019" w:tentative="1">
      <w:start w:val="1"/>
      <w:numFmt w:val="lowerLetter"/>
      <w:lvlText w:val="%8."/>
      <w:lvlJc w:val="left"/>
      <w:pPr>
        <w:ind w:left="5818" w:hanging="360"/>
      </w:pPr>
    </w:lvl>
    <w:lvl w:ilvl="8" w:tplc="041D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0F7B06BF"/>
    <w:multiLevelType w:val="hybridMultilevel"/>
    <w:tmpl w:val="18EA138A"/>
    <w:lvl w:ilvl="0" w:tplc="76EEEE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792D40"/>
    <w:multiLevelType w:val="hybridMultilevel"/>
    <w:tmpl w:val="59629380"/>
    <w:lvl w:ilvl="0" w:tplc="E1A4139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421C"/>
    <w:multiLevelType w:val="multilevel"/>
    <w:tmpl w:val="EC6CA08C"/>
    <w:numStyleLink w:val="Numberedlist"/>
  </w:abstractNum>
  <w:abstractNum w:abstractNumId="11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12" w15:restartNumberingAfterBreak="0">
    <w:nsid w:val="25044239"/>
    <w:multiLevelType w:val="multilevel"/>
    <w:tmpl w:val="E0EC3F8C"/>
    <w:numStyleLink w:val="Bulletedlist"/>
  </w:abstractNum>
  <w:abstractNum w:abstractNumId="13" w15:restartNumberingAfterBreak="0">
    <w:nsid w:val="287257C9"/>
    <w:multiLevelType w:val="hybridMultilevel"/>
    <w:tmpl w:val="BE020502"/>
    <w:lvl w:ilvl="0" w:tplc="09DCA3A0">
      <w:numFmt w:val="bullet"/>
      <w:lvlText w:val="-"/>
      <w:lvlJc w:val="left"/>
      <w:pPr>
        <w:ind w:left="644" w:hanging="360"/>
      </w:pPr>
      <w:rPr>
        <w:rFonts w:ascii="Georgia" w:eastAsiaTheme="minorEastAsia" w:hAnsi="Georgia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C2664B8"/>
    <w:multiLevelType w:val="hybridMultilevel"/>
    <w:tmpl w:val="6C7C5290"/>
    <w:lvl w:ilvl="0" w:tplc="E1A41396">
      <w:start w:val="1"/>
      <w:numFmt w:val="decimal"/>
      <w:lvlText w:val="%1."/>
      <w:lvlJc w:val="left"/>
      <w:pPr>
        <w:ind w:left="927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4E3DEE"/>
    <w:multiLevelType w:val="hybridMultilevel"/>
    <w:tmpl w:val="8A22E33C"/>
    <w:lvl w:ilvl="0" w:tplc="E1A41396">
      <w:start w:val="1"/>
      <w:numFmt w:val="decimal"/>
      <w:lvlText w:val="%1."/>
      <w:lvlJc w:val="left"/>
      <w:pPr>
        <w:ind w:left="927" w:hanging="360"/>
      </w:pPr>
      <w:rPr>
        <w:rFonts w:ascii="Georgia" w:hAnsi="Georgia" w:hint="default"/>
      </w:rPr>
    </w:lvl>
    <w:lvl w:ilvl="1" w:tplc="041D0019">
      <w:start w:val="1"/>
      <w:numFmt w:val="lowerLetter"/>
      <w:lvlText w:val="%2."/>
      <w:lvlJc w:val="left"/>
      <w:pPr>
        <w:ind w:left="1647" w:hanging="360"/>
      </w:pPr>
    </w:lvl>
    <w:lvl w:ilvl="2" w:tplc="041D001B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20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74A94"/>
    <w:multiLevelType w:val="hybridMultilevel"/>
    <w:tmpl w:val="95FEC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E1C27"/>
    <w:multiLevelType w:val="multilevel"/>
    <w:tmpl w:val="E0EC3F8C"/>
    <w:numStyleLink w:val="Bulletedlist"/>
  </w:abstractNum>
  <w:abstractNum w:abstractNumId="23" w15:restartNumberingAfterBreak="0">
    <w:nsid w:val="34DC2473"/>
    <w:multiLevelType w:val="multilevel"/>
    <w:tmpl w:val="91BEAA72"/>
    <w:numStyleLink w:val="HeadingNumbering"/>
  </w:abstractNum>
  <w:abstractNum w:abstractNumId="24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340C3C"/>
    <w:multiLevelType w:val="hybridMultilevel"/>
    <w:tmpl w:val="346676A4"/>
    <w:lvl w:ilvl="0" w:tplc="E1A4139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77F11"/>
    <w:multiLevelType w:val="multilevel"/>
    <w:tmpl w:val="EC6CA08C"/>
    <w:numStyleLink w:val="Numberedlist"/>
  </w:abstractNum>
  <w:abstractNum w:abstractNumId="27" w15:restartNumberingAfterBreak="0">
    <w:nsid w:val="46F60619"/>
    <w:multiLevelType w:val="multilevel"/>
    <w:tmpl w:val="E0EC3F8C"/>
    <w:numStyleLink w:val="Bulletedlist"/>
  </w:abstractNum>
  <w:abstractNum w:abstractNumId="28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29" w15:restartNumberingAfterBreak="0">
    <w:nsid w:val="4C120F2F"/>
    <w:multiLevelType w:val="hybridMultilevel"/>
    <w:tmpl w:val="6CD49C1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C2735D9"/>
    <w:multiLevelType w:val="hybridMultilevel"/>
    <w:tmpl w:val="2BF4B1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F52B1"/>
    <w:multiLevelType w:val="hybridMultilevel"/>
    <w:tmpl w:val="1DA81012"/>
    <w:lvl w:ilvl="0" w:tplc="E1A4139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C10D7"/>
    <w:multiLevelType w:val="hybridMultilevel"/>
    <w:tmpl w:val="615EC6F2"/>
    <w:lvl w:ilvl="0" w:tplc="E1A41396">
      <w:start w:val="1"/>
      <w:numFmt w:val="decimal"/>
      <w:lvlText w:val="%1."/>
      <w:lvlJc w:val="left"/>
      <w:pPr>
        <w:ind w:left="1494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824A3"/>
    <w:multiLevelType w:val="multilevel"/>
    <w:tmpl w:val="E0EC3F8C"/>
    <w:numStyleLink w:val="Bulletedlist"/>
  </w:abstractNum>
  <w:abstractNum w:abstractNumId="35" w15:restartNumberingAfterBreak="0">
    <w:nsid w:val="5CA86F5E"/>
    <w:multiLevelType w:val="hybridMultilevel"/>
    <w:tmpl w:val="925EC5BA"/>
    <w:lvl w:ilvl="0" w:tplc="E1A4139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37" w15:restartNumberingAfterBreak="0">
    <w:nsid w:val="5EA114AD"/>
    <w:multiLevelType w:val="multilevel"/>
    <w:tmpl w:val="EC6CA08C"/>
    <w:numStyleLink w:val="Numberedlist"/>
  </w:abstractNum>
  <w:abstractNum w:abstractNumId="38" w15:restartNumberingAfterBreak="0">
    <w:nsid w:val="5ECB6787"/>
    <w:multiLevelType w:val="hybridMultilevel"/>
    <w:tmpl w:val="F314E498"/>
    <w:lvl w:ilvl="0" w:tplc="E1A4139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A67B4"/>
    <w:multiLevelType w:val="multilevel"/>
    <w:tmpl w:val="EC6CA08C"/>
    <w:numStyleLink w:val="Numberedlist"/>
  </w:abstractNum>
  <w:abstractNum w:abstractNumId="40" w15:restartNumberingAfterBreak="0">
    <w:nsid w:val="670D3A5E"/>
    <w:multiLevelType w:val="hybridMultilevel"/>
    <w:tmpl w:val="8FF2B150"/>
    <w:lvl w:ilvl="0" w:tplc="E1A4139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31413"/>
    <w:multiLevelType w:val="hybridMultilevel"/>
    <w:tmpl w:val="74A0A1E0"/>
    <w:lvl w:ilvl="0" w:tplc="A712F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A1494"/>
    <w:multiLevelType w:val="hybridMultilevel"/>
    <w:tmpl w:val="528AD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D1221"/>
    <w:multiLevelType w:val="hybridMultilevel"/>
    <w:tmpl w:val="7CAEB0FC"/>
    <w:lvl w:ilvl="0" w:tplc="041D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7670247"/>
    <w:multiLevelType w:val="hybridMultilevel"/>
    <w:tmpl w:val="CDB8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C4DFC"/>
    <w:multiLevelType w:val="multilevel"/>
    <w:tmpl w:val="EC6CA08C"/>
    <w:numStyleLink w:val="Numberedlist"/>
  </w:abstractNum>
  <w:abstractNum w:abstractNumId="46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875051"/>
    <w:multiLevelType w:val="multilevel"/>
    <w:tmpl w:val="EC6CA08C"/>
    <w:numStyleLink w:val="Numberedlist"/>
  </w:abstractNum>
  <w:num w:numId="1" w16cid:durableId="386034666">
    <w:abstractNumId w:val="14"/>
  </w:num>
  <w:num w:numId="2" w16cid:durableId="630327713">
    <w:abstractNumId w:val="24"/>
  </w:num>
  <w:num w:numId="3" w16cid:durableId="479077520">
    <w:abstractNumId w:val="46"/>
  </w:num>
  <w:num w:numId="4" w16cid:durableId="1324891070">
    <w:abstractNumId w:val="16"/>
  </w:num>
  <w:num w:numId="5" w16cid:durableId="1834711998">
    <w:abstractNumId w:val="20"/>
  </w:num>
  <w:num w:numId="6" w16cid:durableId="553732516">
    <w:abstractNumId w:val="33"/>
  </w:num>
  <w:num w:numId="7" w16cid:durableId="1231235040">
    <w:abstractNumId w:val="19"/>
  </w:num>
  <w:num w:numId="8" w16cid:durableId="1906598275">
    <w:abstractNumId w:val="12"/>
  </w:num>
  <w:num w:numId="9" w16cid:durableId="797185873">
    <w:abstractNumId w:val="22"/>
  </w:num>
  <w:num w:numId="10" w16cid:durableId="1573154658">
    <w:abstractNumId w:val="28"/>
  </w:num>
  <w:num w:numId="11" w16cid:durableId="915557617">
    <w:abstractNumId w:val="27"/>
  </w:num>
  <w:num w:numId="12" w16cid:durableId="801074345">
    <w:abstractNumId w:val="34"/>
  </w:num>
  <w:num w:numId="13" w16cid:durableId="1904246540">
    <w:abstractNumId w:val="36"/>
  </w:num>
  <w:num w:numId="14" w16cid:durableId="1744450475">
    <w:abstractNumId w:val="47"/>
  </w:num>
  <w:num w:numId="15" w16cid:durableId="1864324142">
    <w:abstractNumId w:val="37"/>
  </w:num>
  <w:num w:numId="16" w16cid:durableId="358312709">
    <w:abstractNumId w:val="45"/>
  </w:num>
  <w:num w:numId="17" w16cid:durableId="12850180">
    <w:abstractNumId w:val="10"/>
  </w:num>
  <w:num w:numId="18" w16cid:durableId="268195639">
    <w:abstractNumId w:val="39"/>
  </w:num>
  <w:num w:numId="19" w16cid:durableId="169174915">
    <w:abstractNumId w:val="26"/>
  </w:num>
  <w:num w:numId="20" w16cid:durableId="1993177746">
    <w:abstractNumId w:val="5"/>
  </w:num>
  <w:num w:numId="21" w16cid:durableId="811873061">
    <w:abstractNumId w:val="11"/>
  </w:num>
  <w:num w:numId="22" w16cid:durableId="1596668397">
    <w:abstractNumId w:val="17"/>
  </w:num>
  <w:num w:numId="23" w16cid:durableId="1674722484">
    <w:abstractNumId w:val="23"/>
  </w:num>
  <w:num w:numId="24" w16cid:durableId="301038887">
    <w:abstractNumId w:val="0"/>
  </w:num>
  <w:num w:numId="25" w16cid:durableId="162161465">
    <w:abstractNumId w:val="29"/>
  </w:num>
  <w:num w:numId="26" w16cid:durableId="1499343318">
    <w:abstractNumId w:val="13"/>
  </w:num>
  <w:num w:numId="27" w16cid:durableId="1928608601">
    <w:abstractNumId w:val="43"/>
  </w:num>
  <w:num w:numId="28" w16cid:durableId="1694577070">
    <w:abstractNumId w:val="21"/>
  </w:num>
  <w:num w:numId="29" w16cid:durableId="269317011">
    <w:abstractNumId w:val="8"/>
  </w:num>
  <w:num w:numId="30" w16cid:durableId="74060602">
    <w:abstractNumId w:val="30"/>
  </w:num>
  <w:num w:numId="31" w16cid:durableId="937370667">
    <w:abstractNumId w:val="42"/>
  </w:num>
  <w:num w:numId="32" w16cid:durableId="2116973882">
    <w:abstractNumId w:val="44"/>
  </w:num>
  <w:num w:numId="33" w16cid:durableId="725760193">
    <w:abstractNumId w:val="41"/>
  </w:num>
  <w:num w:numId="34" w16cid:durableId="318582708">
    <w:abstractNumId w:val="1"/>
  </w:num>
  <w:num w:numId="35" w16cid:durableId="1232807264">
    <w:abstractNumId w:val="40"/>
  </w:num>
  <w:num w:numId="36" w16cid:durableId="1584533019">
    <w:abstractNumId w:val="15"/>
  </w:num>
  <w:num w:numId="37" w16cid:durableId="620262423">
    <w:abstractNumId w:val="32"/>
  </w:num>
  <w:num w:numId="38" w16cid:durableId="1504666759">
    <w:abstractNumId w:val="18"/>
  </w:num>
  <w:num w:numId="39" w16cid:durableId="1663965310">
    <w:abstractNumId w:val="4"/>
  </w:num>
  <w:num w:numId="40" w16cid:durableId="1983541521">
    <w:abstractNumId w:val="3"/>
  </w:num>
  <w:num w:numId="41" w16cid:durableId="1370257660">
    <w:abstractNumId w:val="35"/>
  </w:num>
  <w:num w:numId="42" w16cid:durableId="1794244882">
    <w:abstractNumId w:val="6"/>
  </w:num>
  <w:num w:numId="43" w16cid:durableId="2101245973">
    <w:abstractNumId w:val="38"/>
  </w:num>
  <w:num w:numId="44" w16cid:durableId="896285351">
    <w:abstractNumId w:val="7"/>
  </w:num>
  <w:num w:numId="45" w16cid:durableId="590164946">
    <w:abstractNumId w:val="31"/>
  </w:num>
  <w:num w:numId="46" w16cid:durableId="2030987940">
    <w:abstractNumId w:val="9"/>
  </w:num>
  <w:num w:numId="47" w16cid:durableId="1410956715">
    <w:abstractNumId w:val="2"/>
  </w:num>
  <w:num w:numId="48" w16cid:durableId="8690767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8E"/>
    <w:rsid w:val="0000745A"/>
    <w:rsid w:val="00012DB7"/>
    <w:rsid w:val="00015254"/>
    <w:rsid w:val="0003335C"/>
    <w:rsid w:val="0003355B"/>
    <w:rsid w:val="00033A83"/>
    <w:rsid w:val="00043D09"/>
    <w:rsid w:val="0004486B"/>
    <w:rsid w:val="0005242B"/>
    <w:rsid w:val="00070DDF"/>
    <w:rsid w:val="00075335"/>
    <w:rsid w:val="00084AC1"/>
    <w:rsid w:val="00087EF1"/>
    <w:rsid w:val="000A6285"/>
    <w:rsid w:val="000B6F59"/>
    <w:rsid w:val="000C3C16"/>
    <w:rsid w:val="000D22E9"/>
    <w:rsid w:val="000D26FD"/>
    <w:rsid w:val="000D4BAF"/>
    <w:rsid w:val="000E0953"/>
    <w:rsid w:val="000E57EE"/>
    <w:rsid w:val="000E7657"/>
    <w:rsid w:val="000F4744"/>
    <w:rsid w:val="00113FEE"/>
    <w:rsid w:val="00114C55"/>
    <w:rsid w:val="0011562E"/>
    <w:rsid w:val="001428EE"/>
    <w:rsid w:val="001459E5"/>
    <w:rsid w:val="00146234"/>
    <w:rsid w:val="001463EB"/>
    <w:rsid w:val="001549E8"/>
    <w:rsid w:val="00157464"/>
    <w:rsid w:val="00157743"/>
    <w:rsid w:val="0016296F"/>
    <w:rsid w:val="00164211"/>
    <w:rsid w:val="00166FC1"/>
    <w:rsid w:val="00180C81"/>
    <w:rsid w:val="00186165"/>
    <w:rsid w:val="001922ED"/>
    <w:rsid w:val="0019257F"/>
    <w:rsid w:val="001935E2"/>
    <w:rsid w:val="0019727E"/>
    <w:rsid w:val="001A018C"/>
    <w:rsid w:val="001A0227"/>
    <w:rsid w:val="001A4A68"/>
    <w:rsid w:val="001B1C02"/>
    <w:rsid w:val="001C1592"/>
    <w:rsid w:val="001C23B5"/>
    <w:rsid w:val="001C4A9B"/>
    <w:rsid w:val="001D20A6"/>
    <w:rsid w:val="001D6EBF"/>
    <w:rsid w:val="001F4010"/>
    <w:rsid w:val="00201F21"/>
    <w:rsid w:val="00212855"/>
    <w:rsid w:val="0022419C"/>
    <w:rsid w:val="00236523"/>
    <w:rsid w:val="0026346A"/>
    <w:rsid w:val="002634D2"/>
    <w:rsid w:val="0026543D"/>
    <w:rsid w:val="00291E62"/>
    <w:rsid w:val="00292335"/>
    <w:rsid w:val="00292455"/>
    <w:rsid w:val="0029379D"/>
    <w:rsid w:val="002A19AC"/>
    <w:rsid w:val="002A3A1B"/>
    <w:rsid w:val="002A76F9"/>
    <w:rsid w:val="002C1DD5"/>
    <w:rsid w:val="002D08B9"/>
    <w:rsid w:val="002F2371"/>
    <w:rsid w:val="00302656"/>
    <w:rsid w:val="00306A53"/>
    <w:rsid w:val="00317D4C"/>
    <w:rsid w:val="00317F80"/>
    <w:rsid w:val="00333A4D"/>
    <w:rsid w:val="003366F3"/>
    <w:rsid w:val="00347E12"/>
    <w:rsid w:val="0035445C"/>
    <w:rsid w:val="003544CD"/>
    <w:rsid w:val="00385043"/>
    <w:rsid w:val="00385215"/>
    <w:rsid w:val="003A159D"/>
    <w:rsid w:val="003A71BA"/>
    <w:rsid w:val="003B7789"/>
    <w:rsid w:val="003C3ABA"/>
    <w:rsid w:val="003C4E33"/>
    <w:rsid w:val="003C64B0"/>
    <w:rsid w:val="003D6CE2"/>
    <w:rsid w:val="003F065E"/>
    <w:rsid w:val="003F06C5"/>
    <w:rsid w:val="003F0C05"/>
    <w:rsid w:val="003F614E"/>
    <w:rsid w:val="00403560"/>
    <w:rsid w:val="004235B4"/>
    <w:rsid w:val="00427B51"/>
    <w:rsid w:val="00432D1F"/>
    <w:rsid w:val="004365A7"/>
    <w:rsid w:val="0044031D"/>
    <w:rsid w:val="004412FE"/>
    <w:rsid w:val="00443124"/>
    <w:rsid w:val="00443C94"/>
    <w:rsid w:val="00451216"/>
    <w:rsid w:val="00466E30"/>
    <w:rsid w:val="00475DBB"/>
    <w:rsid w:val="00485245"/>
    <w:rsid w:val="004852F4"/>
    <w:rsid w:val="004875AA"/>
    <w:rsid w:val="004908B0"/>
    <w:rsid w:val="004B6BF9"/>
    <w:rsid w:val="004B71B9"/>
    <w:rsid w:val="004B760F"/>
    <w:rsid w:val="004B7D5D"/>
    <w:rsid w:val="004D2946"/>
    <w:rsid w:val="004E17DA"/>
    <w:rsid w:val="004E198E"/>
    <w:rsid w:val="004E4B10"/>
    <w:rsid w:val="00504FCF"/>
    <w:rsid w:val="00506F37"/>
    <w:rsid w:val="0052442A"/>
    <w:rsid w:val="00532095"/>
    <w:rsid w:val="00532D59"/>
    <w:rsid w:val="005355BA"/>
    <w:rsid w:val="00537B40"/>
    <w:rsid w:val="00542345"/>
    <w:rsid w:val="00547F07"/>
    <w:rsid w:val="0055124F"/>
    <w:rsid w:val="00554CE0"/>
    <w:rsid w:val="005630A4"/>
    <w:rsid w:val="00564E15"/>
    <w:rsid w:val="00570DE3"/>
    <w:rsid w:val="00570F83"/>
    <w:rsid w:val="00573F32"/>
    <w:rsid w:val="00574175"/>
    <w:rsid w:val="00594125"/>
    <w:rsid w:val="00594929"/>
    <w:rsid w:val="005B4B87"/>
    <w:rsid w:val="005B512D"/>
    <w:rsid w:val="005C3540"/>
    <w:rsid w:val="005D2691"/>
    <w:rsid w:val="005D2CBA"/>
    <w:rsid w:val="005E366D"/>
    <w:rsid w:val="005E3F31"/>
    <w:rsid w:val="005E4C37"/>
    <w:rsid w:val="005E56FD"/>
    <w:rsid w:val="005F16AA"/>
    <w:rsid w:val="00620948"/>
    <w:rsid w:val="0063683F"/>
    <w:rsid w:val="00644B94"/>
    <w:rsid w:val="00654DB7"/>
    <w:rsid w:val="006552AE"/>
    <w:rsid w:val="00656AEE"/>
    <w:rsid w:val="00664B97"/>
    <w:rsid w:val="0066664B"/>
    <w:rsid w:val="00672D9C"/>
    <w:rsid w:val="0067322C"/>
    <w:rsid w:val="00682122"/>
    <w:rsid w:val="00684F61"/>
    <w:rsid w:val="006A2F65"/>
    <w:rsid w:val="006A5113"/>
    <w:rsid w:val="006A6C37"/>
    <w:rsid w:val="006B3395"/>
    <w:rsid w:val="006C27CF"/>
    <w:rsid w:val="006D26F5"/>
    <w:rsid w:val="006D561A"/>
    <w:rsid w:val="006E0C6D"/>
    <w:rsid w:val="006E1460"/>
    <w:rsid w:val="006E1CBA"/>
    <w:rsid w:val="006E5BDE"/>
    <w:rsid w:val="00706956"/>
    <w:rsid w:val="00723B31"/>
    <w:rsid w:val="0073249C"/>
    <w:rsid w:val="0073286B"/>
    <w:rsid w:val="00734DC6"/>
    <w:rsid w:val="007376BE"/>
    <w:rsid w:val="0074079C"/>
    <w:rsid w:val="0076484E"/>
    <w:rsid w:val="00770129"/>
    <w:rsid w:val="00784D0C"/>
    <w:rsid w:val="00786EA2"/>
    <w:rsid w:val="00790125"/>
    <w:rsid w:val="00791922"/>
    <w:rsid w:val="00791DA4"/>
    <w:rsid w:val="00796551"/>
    <w:rsid w:val="007969E6"/>
    <w:rsid w:val="007B6E23"/>
    <w:rsid w:val="007C6922"/>
    <w:rsid w:val="007D0871"/>
    <w:rsid w:val="007D3CBC"/>
    <w:rsid w:val="007D68CF"/>
    <w:rsid w:val="007E445D"/>
    <w:rsid w:val="007E4E19"/>
    <w:rsid w:val="007E5B27"/>
    <w:rsid w:val="007E7E6A"/>
    <w:rsid w:val="007F4703"/>
    <w:rsid w:val="00801B9D"/>
    <w:rsid w:val="00807211"/>
    <w:rsid w:val="0083629F"/>
    <w:rsid w:val="0083660D"/>
    <w:rsid w:val="008512A0"/>
    <w:rsid w:val="00851368"/>
    <w:rsid w:val="00861496"/>
    <w:rsid w:val="00866D1A"/>
    <w:rsid w:val="008706EA"/>
    <w:rsid w:val="00875CEF"/>
    <w:rsid w:val="0088108E"/>
    <w:rsid w:val="008A4BE5"/>
    <w:rsid w:val="008B4AE4"/>
    <w:rsid w:val="008D3964"/>
    <w:rsid w:val="008E5A0D"/>
    <w:rsid w:val="008E5AD0"/>
    <w:rsid w:val="008F149C"/>
    <w:rsid w:val="008F5AA8"/>
    <w:rsid w:val="008F7A3B"/>
    <w:rsid w:val="0092667C"/>
    <w:rsid w:val="00933AF0"/>
    <w:rsid w:val="00937C01"/>
    <w:rsid w:val="0094324B"/>
    <w:rsid w:val="00943D2C"/>
    <w:rsid w:val="00954602"/>
    <w:rsid w:val="00954BE3"/>
    <w:rsid w:val="009610F3"/>
    <w:rsid w:val="00962969"/>
    <w:rsid w:val="00974E9F"/>
    <w:rsid w:val="009813DB"/>
    <w:rsid w:val="00995431"/>
    <w:rsid w:val="009A0B80"/>
    <w:rsid w:val="009A1600"/>
    <w:rsid w:val="009A23BF"/>
    <w:rsid w:val="009A47F8"/>
    <w:rsid w:val="009B3C24"/>
    <w:rsid w:val="009B6560"/>
    <w:rsid w:val="009C5A0B"/>
    <w:rsid w:val="009E6B08"/>
    <w:rsid w:val="009F09FC"/>
    <w:rsid w:val="00A033D3"/>
    <w:rsid w:val="00A077D5"/>
    <w:rsid w:val="00A10A96"/>
    <w:rsid w:val="00A153E1"/>
    <w:rsid w:val="00A2646A"/>
    <w:rsid w:val="00A46B08"/>
    <w:rsid w:val="00A56638"/>
    <w:rsid w:val="00A56AA9"/>
    <w:rsid w:val="00A6664A"/>
    <w:rsid w:val="00A75D8E"/>
    <w:rsid w:val="00A85972"/>
    <w:rsid w:val="00A86D9D"/>
    <w:rsid w:val="00A96854"/>
    <w:rsid w:val="00A975F0"/>
    <w:rsid w:val="00AA72F6"/>
    <w:rsid w:val="00AB53E1"/>
    <w:rsid w:val="00AC08AB"/>
    <w:rsid w:val="00AC1B5B"/>
    <w:rsid w:val="00AD3584"/>
    <w:rsid w:val="00AD4FA7"/>
    <w:rsid w:val="00AE0C6E"/>
    <w:rsid w:val="00B0228E"/>
    <w:rsid w:val="00B105EA"/>
    <w:rsid w:val="00B21772"/>
    <w:rsid w:val="00B24672"/>
    <w:rsid w:val="00B24748"/>
    <w:rsid w:val="00B24805"/>
    <w:rsid w:val="00B31F24"/>
    <w:rsid w:val="00B32742"/>
    <w:rsid w:val="00B3297B"/>
    <w:rsid w:val="00B37A0D"/>
    <w:rsid w:val="00B4691B"/>
    <w:rsid w:val="00B53568"/>
    <w:rsid w:val="00B61210"/>
    <w:rsid w:val="00B67310"/>
    <w:rsid w:val="00B81B4E"/>
    <w:rsid w:val="00B870B6"/>
    <w:rsid w:val="00B95AB4"/>
    <w:rsid w:val="00BA7B91"/>
    <w:rsid w:val="00BD5F74"/>
    <w:rsid w:val="00BD7F66"/>
    <w:rsid w:val="00BF152B"/>
    <w:rsid w:val="00C020D4"/>
    <w:rsid w:val="00C04411"/>
    <w:rsid w:val="00C304B5"/>
    <w:rsid w:val="00C34C51"/>
    <w:rsid w:val="00C36E0B"/>
    <w:rsid w:val="00C375B1"/>
    <w:rsid w:val="00C45BEB"/>
    <w:rsid w:val="00C507BD"/>
    <w:rsid w:val="00C546E0"/>
    <w:rsid w:val="00C62748"/>
    <w:rsid w:val="00C641F1"/>
    <w:rsid w:val="00C6463B"/>
    <w:rsid w:val="00C77E2E"/>
    <w:rsid w:val="00C822FD"/>
    <w:rsid w:val="00C876FC"/>
    <w:rsid w:val="00C907E0"/>
    <w:rsid w:val="00C90836"/>
    <w:rsid w:val="00CB0A88"/>
    <w:rsid w:val="00CB18BC"/>
    <w:rsid w:val="00CB7699"/>
    <w:rsid w:val="00CB7A4A"/>
    <w:rsid w:val="00CC3656"/>
    <w:rsid w:val="00CC36F1"/>
    <w:rsid w:val="00CE2429"/>
    <w:rsid w:val="00CE59BA"/>
    <w:rsid w:val="00CE661C"/>
    <w:rsid w:val="00CF14A4"/>
    <w:rsid w:val="00CF5EA2"/>
    <w:rsid w:val="00CF6CEC"/>
    <w:rsid w:val="00CF70F5"/>
    <w:rsid w:val="00D01648"/>
    <w:rsid w:val="00D04E86"/>
    <w:rsid w:val="00D05C0F"/>
    <w:rsid w:val="00D06A30"/>
    <w:rsid w:val="00D138F2"/>
    <w:rsid w:val="00D16815"/>
    <w:rsid w:val="00D22095"/>
    <w:rsid w:val="00D22B61"/>
    <w:rsid w:val="00D32A2B"/>
    <w:rsid w:val="00D33340"/>
    <w:rsid w:val="00D45F01"/>
    <w:rsid w:val="00D543B8"/>
    <w:rsid w:val="00D6711E"/>
    <w:rsid w:val="00D75D93"/>
    <w:rsid w:val="00D970E3"/>
    <w:rsid w:val="00D97414"/>
    <w:rsid w:val="00D97796"/>
    <w:rsid w:val="00DB0B10"/>
    <w:rsid w:val="00DB29DC"/>
    <w:rsid w:val="00DB4219"/>
    <w:rsid w:val="00DB4C20"/>
    <w:rsid w:val="00DC3093"/>
    <w:rsid w:val="00DC430B"/>
    <w:rsid w:val="00DC764B"/>
    <w:rsid w:val="00DD10BB"/>
    <w:rsid w:val="00DD3C38"/>
    <w:rsid w:val="00DE42D3"/>
    <w:rsid w:val="00DF0401"/>
    <w:rsid w:val="00DF3F6B"/>
    <w:rsid w:val="00DF40EF"/>
    <w:rsid w:val="00DF763A"/>
    <w:rsid w:val="00E053FA"/>
    <w:rsid w:val="00E07FDD"/>
    <w:rsid w:val="00E13E58"/>
    <w:rsid w:val="00E17F22"/>
    <w:rsid w:val="00E26C02"/>
    <w:rsid w:val="00E54AD2"/>
    <w:rsid w:val="00E601CB"/>
    <w:rsid w:val="00E602D0"/>
    <w:rsid w:val="00E743CF"/>
    <w:rsid w:val="00E776D8"/>
    <w:rsid w:val="00E823F3"/>
    <w:rsid w:val="00E91858"/>
    <w:rsid w:val="00E96269"/>
    <w:rsid w:val="00EB480D"/>
    <w:rsid w:val="00EB494C"/>
    <w:rsid w:val="00EC3CF9"/>
    <w:rsid w:val="00EC41AC"/>
    <w:rsid w:val="00EC714D"/>
    <w:rsid w:val="00ED1C14"/>
    <w:rsid w:val="00ED1CE7"/>
    <w:rsid w:val="00ED6AA1"/>
    <w:rsid w:val="00ED6F6E"/>
    <w:rsid w:val="00EE1C27"/>
    <w:rsid w:val="00EE4FDF"/>
    <w:rsid w:val="00EE5B4C"/>
    <w:rsid w:val="00EF444D"/>
    <w:rsid w:val="00F0391D"/>
    <w:rsid w:val="00F072EA"/>
    <w:rsid w:val="00F16EA4"/>
    <w:rsid w:val="00F23627"/>
    <w:rsid w:val="00F341AB"/>
    <w:rsid w:val="00F34BD1"/>
    <w:rsid w:val="00F35835"/>
    <w:rsid w:val="00F43EFA"/>
    <w:rsid w:val="00F45499"/>
    <w:rsid w:val="00F462DA"/>
    <w:rsid w:val="00F46762"/>
    <w:rsid w:val="00F53780"/>
    <w:rsid w:val="00F54751"/>
    <w:rsid w:val="00F55F5A"/>
    <w:rsid w:val="00F64189"/>
    <w:rsid w:val="00F806A9"/>
    <w:rsid w:val="00F91F64"/>
    <w:rsid w:val="00F95EB5"/>
    <w:rsid w:val="00FA5BF5"/>
    <w:rsid w:val="00FC09AB"/>
    <w:rsid w:val="00FC1E59"/>
    <w:rsid w:val="00FC3517"/>
    <w:rsid w:val="00FD0D2C"/>
    <w:rsid w:val="00FE491D"/>
    <w:rsid w:val="00FE5A64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7C7F54"/>
  <w15:docId w15:val="{3778BD31-0FB7-4A46-B492-F2741FA8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E5A0D"/>
    <w:pPr>
      <w:jc w:val="both"/>
    </w:pPr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F09FC"/>
    <w:pPr>
      <w:keepNext/>
      <w:keepLines/>
      <w:spacing w:before="300" w:after="300" w:line="264" w:lineRule="auto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ented"/>
    <w:uiPriority w:val="34"/>
    <w:qFormat/>
    <w:rsid w:val="006D561A"/>
    <w:pPr>
      <w:numPr>
        <w:ilvl w:val="1"/>
        <w:numId w:val="4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22095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ented">
    <w:name w:val="Normal Indented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7"/>
    <w:rsid w:val="004E4B10"/>
    <w:pPr>
      <w:keepNext/>
      <w:keepLines/>
      <w:spacing w:after="30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qFormat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rsid w:val="00564E15"/>
    <w:rPr>
      <w:b/>
      <w:bCs/>
    </w:rPr>
  </w:style>
  <w:style w:type="paragraph" w:customStyle="1" w:styleId="Code">
    <w:name w:val="Code"/>
    <w:basedOn w:val="NormalIndented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</w:rPr>
  </w:style>
  <w:style w:type="paragraph" w:customStyle="1" w:styleId="Figure">
    <w:name w:val="Figure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igureCaption">
    <w:name w:val="Figure Caption"/>
    <w:basedOn w:val="Beskrivning"/>
    <w:uiPriority w:val="14"/>
    <w:qFormat/>
    <w:rsid w:val="008F7A3B"/>
    <w:pPr>
      <w:spacing w:before="57"/>
    </w:pPr>
  </w:style>
  <w:style w:type="paragraph" w:customStyle="1" w:styleId="TableCaption">
    <w:name w:val="Table Caption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Left">
    <w:name w:val="Margin Left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Right">
    <w:name w:val="Margin Right"/>
    <w:basedOn w:val="MarginLeft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7"/>
      </w:numPr>
    </w:pPr>
  </w:style>
  <w:style w:type="numbering" w:customStyle="1" w:styleId="Numberedlist">
    <w:name w:val="Numbered list"/>
    <w:uiPriority w:val="99"/>
    <w:rsid w:val="00574175"/>
    <w:pPr>
      <w:numPr>
        <w:numId w:val="13"/>
      </w:numPr>
    </w:pPr>
  </w:style>
  <w:style w:type="paragraph" w:customStyle="1" w:styleId="IsolatedParagraph">
    <w:name w:val="Isolated Paragraph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dParagraph"/>
    <w:uiPriority w:val="19"/>
    <w:qFormat/>
    <w:rsid w:val="001C4A9B"/>
    <w:pPr>
      <w:numPr>
        <w:numId w:val="21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21"/>
      </w:numPr>
    </w:pPr>
  </w:style>
  <w:style w:type="numbering" w:customStyle="1" w:styleId="HeadingNumbering">
    <w:name w:val="Heading Numbering"/>
    <w:uiPriority w:val="99"/>
    <w:rsid w:val="0066664B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6E0C6D"/>
    <w:pPr>
      <w:spacing w:before="120" w:after="120"/>
      <w:jc w:val="left"/>
    </w:pPr>
    <w:rPr>
      <w:rFonts w:asciiTheme="minorHAnsi" w:hAnsiTheme="minorHAnsi"/>
      <w:b/>
      <w:bCs/>
      <w:noProof/>
      <w:sz w:val="20"/>
      <w:szCs w:val="20"/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302656"/>
    <w:pPr>
      <w:tabs>
        <w:tab w:val="right" w:leader="dot" w:pos="7786"/>
      </w:tabs>
      <w:ind w:left="240"/>
      <w:jc w:val="left"/>
    </w:pPr>
    <w:rPr>
      <w:rFonts w:asciiTheme="minorHAnsi" w:hAnsiTheme="minorHAnsi"/>
      <w:noProof/>
      <w:sz w:val="20"/>
      <w:szCs w:val="20"/>
      <w:lang w:val="en-US"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letext">
    <w:name w:val="Table text"/>
    <w:basedOn w:val="Normal"/>
    <w:qFormat/>
    <w:rsid w:val="004235B4"/>
    <w:rPr>
      <w:rFonts w:ascii="Calibri" w:hAnsi="Calibri"/>
      <w:bCs/>
    </w:rPr>
  </w:style>
  <w:style w:type="paragraph" w:styleId="Fotnotstext">
    <w:name w:val="footnote text"/>
    <w:basedOn w:val="Normal"/>
    <w:link w:val="FotnotstextChar"/>
    <w:unhideWhenUsed/>
    <w:rsid w:val="004E17DA"/>
    <w:rPr>
      <w:rFonts w:eastAsia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rsid w:val="004E17DA"/>
    <w:rPr>
      <w:rFonts w:ascii="Times New Roman" w:eastAsiaTheme="minorHAnsi" w:hAnsi="Times New Roman"/>
      <w:sz w:val="20"/>
      <w:szCs w:val="20"/>
      <w:lang w:val="en-US" w:eastAsia="en-US"/>
    </w:rPr>
  </w:style>
  <w:style w:type="character" w:styleId="Fotnotsreferens">
    <w:name w:val="footnote reference"/>
    <w:basedOn w:val="Standardstycketeckensnitt"/>
    <w:unhideWhenUsed/>
    <w:rsid w:val="004E17DA"/>
    <w:rPr>
      <w:vertAlign w:val="superscript"/>
    </w:rPr>
  </w:style>
  <w:style w:type="character" w:styleId="Olstomnmnande">
    <w:name w:val="Unresolved Mention"/>
    <w:basedOn w:val="Standardstycketeckensnitt"/>
    <w:uiPriority w:val="99"/>
    <w:rsid w:val="00DB4C20"/>
    <w:rPr>
      <w:color w:val="605E5C"/>
      <w:shd w:val="clear" w:color="auto" w:fill="E1DFDD"/>
    </w:rPr>
  </w:style>
  <w:style w:type="paragraph" w:styleId="Innehll4">
    <w:name w:val="toc 4"/>
    <w:basedOn w:val="Normal"/>
    <w:next w:val="Normal"/>
    <w:autoRedefine/>
    <w:uiPriority w:val="39"/>
    <w:unhideWhenUsed/>
    <w:rsid w:val="00F53780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F53780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F53780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F53780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F53780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F53780"/>
    <w:pPr>
      <w:ind w:left="1920"/>
      <w:jc w:val="left"/>
    </w:pPr>
    <w:rPr>
      <w:rFonts w:asciiTheme="minorHAnsi" w:hAnsiTheme="minorHAns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852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524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5245"/>
    <w:rPr>
      <w:rFonts w:ascii="Times New Roman" w:eastAsia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524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524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C36F1"/>
    <w:rPr>
      <w:color w:val="800080" w:themeColor="followedHyperlink"/>
      <w:u w:val="single"/>
    </w:rPr>
  </w:style>
  <w:style w:type="character" w:customStyle="1" w:styleId="anchor-text">
    <w:name w:val="anchor-text"/>
    <w:basedOn w:val="Standardstycketeckensnitt"/>
    <w:rsid w:val="00E1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4.unfccc.int/ndcregistry/Pages/Home.aspx" TargetMode="External"/><Relationship Id="rId18" Type="http://schemas.openxmlformats.org/officeDocument/2006/relationships/hyperlink" Target="http://climateactiontracker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unfccc.int/" TargetMode="External"/><Relationship Id="rId17" Type="http://schemas.openxmlformats.org/officeDocument/2006/relationships/hyperlink" Target="http://www.climatenetwork.org/eco-newsletter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isd.ca/process/climate_atm.htm" TargetMode="External"/><Relationship Id="rId20" Type="http://schemas.openxmlformats.org/officeDocument/2006/relationships/hyperlink" Target="http://cait.wri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5317/9781784135461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public.wmo.int/en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climatewatchdata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cc.ch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ecf7d46f-752b-4e58-a670-835e06d9b3c1" xsi:nil="true"/>
    <_lisam_Description xmlns="8901be7a-e658-4ad0-b980-af0d373192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EE74ED2F3DE24A8DA6EEF5B291B01A" ma:contentTypeVersion="5" ma:contentTypeDescription="Skapa ett nytt dokument." ma:contentTypeScope="" ma:versionID="25162d51d85714ea961f697ae1154275">
  <xsd:schema xmlns:xsd="http://www.w3.org/2001/XMLSchema" xmlns:xs="http://www.w3.org/2001/XMLSchema" xmlns:p="http://schemas.microsoft.com/office/2006/metadata/properties" xmlns:ns2="8901be7a-e658-4ad0-b980-af0d3731926d" xmlns:ns3="ecf7d46f-752b-4e58-a670-835e06d9b3c1" targetNamespace="http://schemas.microsoft.com/office/2006/metadata/properties" ma:root="true" ma:fieldsID="0a926876ce1e1fd7fd8fc433ca43bb38" ns2:_="" ns3:_="">
    <xsd:import namespace="8901be7a-e658-4ad0-b980-af0d3731926d"/>
    <xsd:import namespace="ecf7d46f-752b-4e58-a670-835e06d9b3c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be7a-e658-4ad0-b980-af0d3731926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d46f-752b-4e58-a670-835e06d9b3c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FD81D-FD7F-4D46-9C62-04DDED6D4667}">
  <ds:schemaRefs>
    <ds:schemaRef ds:uri="http://schemas.microsoft.com/office/2006/metadata/properties"/>
    <ds:schemaRef ds:uri="http://schemas.microsoft.com/office/infopath/2007/PartnerControls"/>
    <ds:schemaRef ds:uri="a5aea428-1722-47f0-acbf-e195f738e188"/>
  </ds:schemaRefs>
</ds:datastoreItem>
</file>

<file path=customXml/itemProps2.xml><?xml version="1.0" encoding="utf-8"?>
<ds:datastoreItem xmlns:ds="http://schemas.openxmlformats.org/officeDocument/2006/customXml" ds:itemID="{F42DAF39-967C-4A1A-A163-AA2D5ABAD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1437D-5610-4CED-BD21-57EDA54720E5}"/>
</file>

<file path=customXml/itemProps4.xml><?xml version="1.0" encoding="utf-8"?>
<ds:datastoreItem xmlns:ds="http://schemas.openxmlformats.org/officeDocument/2006/customXml" ds:itemID="{2A09B9DF-7EC3-7241-8F7C-225DD0BC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2286</Words>
  <Characters>12118</Characters>
  <Application>Microsoft Office Word</Application>
  <DocSecurity>0</DocSecurity>
  <Lines>100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Linköping University</Company>
  <LinksUpToDate>false</LinksUpToDate>
  <CharactersWithSpaces>14376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Fridahl</dc:creator>
  <cp:keywords/>
  <dc:description/>
  <cp:lastModifiedBy>Mattias Hjerpe</cp:lastModifiedBy>
  <cp:revision>3</cp:revision>
  <cp:lastPrinted>2022-03-24T11:18:00Z</cp:lastPrinted>
  <dcterms:created xsi:type="dcterms:W3CDTF">2023-09-01T08:54:00Z</dcterms:created>
  <dcterms:modified xsi:type="dcterms:W3CDTF">2023-09-01T09:31:00Z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0x010100CDEE74ED2F3DE24A8DA6EEF5B291B01A</vt:lpwstr>
  </property>
</Properties>
</file>